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DB4A1" w14:textId="77777777" w:rsidR="00DD4547" w:rsidRDefault="00DD4547" w:rsidP="00814313">
      <w:pPr>
        <w:spacing w:after="280" w:line="276" w:lineRule="auto"/>
        <w:jc w:val="both"/>
        <w:rPr>
          <w:rFonts w:ascii="Arial" w:eastAsia="Arial" w:hAnsi="Arial" w:cs="Arial"/>
          <w:b/>
          <w:sz w:val="32"/>
          <w:szCs w:val="32"/>
          <w:lang w:eastAsia="es-MX"/>
        </w:rPr>
      </w:pPr>
    </w:p>
    <w:p w14:paraId="20C4722F" w14:textId="77777777" w:rsidR="00DD4547" w:rsidRPr="00337F6B" w:rsidRDefault="00DD4547" w:rsidP="008143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37F6B">
        <w:rPr>
          <w:rFonts w:ascii="Arial" w:hAnsi="Arial" w:cs="Arial"/>
          <w:b/>
          <w:sz w:val="24"/>
          <w:szCs w:val="24"/>
        </w:rPr>
        <w:t>H. CONGRESO DEL ESTADO DE YUCATÁN.</w:t>
      </w:r>
    </w:p>
    <w:p w14:paraId="3344F43A" w14:textId="355CD0BF" w:rsidR="00DD4547" w:rsidRPr="00987D3D" w:rsidRDefault="00DD4547" w:rsidP="00814313">
      <w:pPr>
        <w:spacing w:line="276" w:lineRule="auto"/>
        <w:rPr>
          <w:rFonts w:ascii="Arial" w:hAnsi="Arial" w:cs="Arial"/>
          <w:b/>
        </w:rPr>
      </w:pPr>
      <w:r w:rsidRPr="00337F6B">
        <w:rPr>
          <w:rFonts w:ascii="Arial" w:hAnsi="Arial" w:cs="Arial"/>
          <w:b/>
          <w:sz w:val="24"/>
          <w:szCs w:val="24"/>
        </w:rPr>
        <w:t>PRESENTE.</w:t>
      </w:r>
    </w:p>
    <w:p w14:paraId="1FD8122F" w14:textId="7B15DEF2" w:rsidR="00370C83" w:rsidRPr="004D5D6B" w:rsidRDefault="00DD4547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7F6B">
        <w:rPr>
          <w:rFonts w:ascii="Arial" w:hAnsi="Arial" w:cs="Arial"/>
          <w:sz w:val="24"/>
          <w:szCs w:val="24"/>
        </w:rPr>
        <w:t xml:space="preserve">Con fundamento en lo establecido en los artículos 35 fracción I de la Constitución Política del Estado de Yucatán; 16, 17, y 22 fracción VI de la Ley de Gobierno y 68, 69 y demás disposiciones relativas y aplicables del Reglamento de la Ley de Gobierno, ambas del Poder Legislativo del Estado de Yucatán, quienes suscribimos Diputada Larissa Acosta Escalante, y el Diputado Javier Renán </w:t>
      </w:r>
      <w:proofErr w:type="spellStart"/>
      <w:r w:rsidRPr="00337F6B">
        <w:rPr>
          <w:rFonts w:ascii="Arial" w:hAnsi="Arial" w:cs="Arial"/>
          <w:sz w:val="24"/>
          <w:szCs w:val="24"/>
        </w:rPr>
        <w:t>Osante</w:t>
      </w:r>
      <w:proofErr w:type="spellEnd"/>
      <w:r w:rsidRPr="00337F6B">
        <w:rPr>
          <w:rFonts w:ascii="Arial" w:hAnsi="Arial" w:cs="Arial"/>
          <w:sz w:val="24"/>
          <w:szCs w:val="24"/>
        </w:rPr>
        <w:t xml:space="preserve"> Solís de la fracción legislativa del Partido Movimiento Ciudadano de la sexagésima cuarta legislatura del Congreso del Estado de Yucatán, presentamos a consideración de esta soberanía</w:t>
      </w:r>
      <w:bookmarkStart w:id="0" w:name="_Hlk188005376"/>
      <w:r w:rsidR="009C0A6C">
        <w:rPr>
          <w:rFonts w:ascii="Arial" w:hAnsi="Arial" w:cs="Arial"/>
          <w:sz w:val="24"/>
          <w:szCs w:val="24"/>
        </w:rPr>
        <w:t>,</w:t>
      </w:r>
      <w:r w:rsidR="0052426E">
        <w:rPr>
          <w:rFonts w:ascii="Arial" w:hAnsi="Arial" w:cs="Arial"/>
          <w:sz w:val="24"/>
          <w:szCs w:val="24"/>
        </w:rPr>
        <w:t xml:space="preserve"> la</w:t>
      </w:r>
      <w:r w:rsidRPr="00337F6B">
        <w:rPr>
          <w:rFonts w:ascii="Arial" w:hAnsi="Arial" w:cs="Arial"/>
          <w:sz w:val="24"/>
          <w:szCs w:val="24"/>
        </w:rPr>
        <w:t xml:space="preserve"> iniciativa con proyecto de </w:t>
      </w:r>
      <w:r w:rsidR="0052426E">
        <w:rPr>
          <w:rFonts w:ascii="Arial" w:hAnsi="Arial" w:cs="Arial"/>
          <w:b/>
          <w:bCs/>
          <w:sz w:val="24"/>
          <w:szCs w:val="24"/>
        </w:rPr>
        <w:t>DECRETO</w:t>
      </w:r>
      <w:r w:rsidRPr="00337F6B">
        <w:rPr>
          <w:rFonts w:ascii="Arial" w:hAnsi="Arial" w:cs="Arial"/>
          <w:b/>
          <w:bCs/>
          <w:sz w:val="24"/>
          <w:szCs w:val="24"/>
        </w:rPr>
        <w:t xml:space="preserve"> POR </w:t>
      </w:r>
      <w:r w:rsidR="00613882">
        <w:rPr>
          <w:rFonts w:ascii="Arial" w:hAnsi="Arial" w:cs="Arial"/>
          <w:b/>
          <w:bCs/>
          <w:sz w:val="24"/>
          <w:szCs w:val="24"/>
        </w:rPr>
        <w:t>EL QUE SE REFORMA</w:t>
      </w:r>
      <w:r w:rsidR="00C8570D">
        <w:rPr>
          <w:rFonts w:ascii="Arial" w:hAnsi="Arial" w:cs="Arial"/>
          <w:b/>
          <w:bCs/>
          <w:sz w:val="24"/>
          <w:szCs w:val="24"/>
        </w:rPr>
        <w:t xml:space="preserve"> </w:t>
      </w:r>
      <w:r w:rsidR="00613882">
        <w:rPr>
          <w:rFonts w:ascii="Arial" w:hAnsi="Arial" w:cs="Arial"/>
          <w:b/>
          <w:bCs/>
          <w:sz w:val="24"/>
          <w:szCs w:val="24"/>
        </w:rPr>
        <w:t>LA</w:t>
      </w:r>
      <w:r w:rsidR="0037675E">
        <w:rPr>
          <w:rFonts w:ascii="Arial" w:hAnsi="Arial" w:cs="Arial"/>
          <w:b/>
          <w:bCs/>
          <w:sz w:val="24"/>
          <w:szCs w:val="24"/>
        </w:rPr>
        <w:t xml:space="preserve"> LEY GENERAL DE RESPONSABILIDADES ADMINISTRATIVAS, EN MATERIA DE</w:t>
      </w:r>
      <w:r w:rsidR="00E51C38">
        <w:rPr>
          <w:rFonts w:ascii="Arial" w:hAnsi="Arial" w:cs="Arial"/>
          <w:b/>
          <w:bCs/>
          <w:sz w:val="24"/>
          <w:szCs w:val="24"/>
        </w:rPr>
        <w:t xml:space="preserve"> FALTAS GRAVES POR NO ENTERAR CUOTAS, APORTACIONES, O DESCUENTOS A LOS INSTITUTOS DE SEGURIDAD DE SERVICIOS SOCIALES DE LOS TRABAJADORES DE LOS ESTADOS</w:t>
      </w:r>
      <w:bookmarkEnd w:id="0"/>
      <w:r w:rsidR="00370C83">
        <w:rPr>
          <w:rFonts w:ascii="Arial" w:hAnsi="Arial" w:cs="Arial"/>
          <w:b/>
          <w:bCs/>
          <w:sz w:val="24"/>
          <w:szCs w:val="24"/>
        </w:rPr>
        <w:t>,</w:t>
      </w:r>
      <w:r w:rsidR="00EF414F" w:rsidRPr="00EF414F">
        <w:rPr>
          <w:rFonts w:ascii="Arial" w:hAnsi="Arial" w:cs="Arial"/>
          <w:sz w:val="24"/>
          <w:szCs w:val="24"/>
        </w:rPr>
        <w:t xml:space="preserve"> </w:t>
      </w:r>
      <w:r w:rsidR="00EF414F">
        <w:rPr>
          <w:rFonts w:ascii="Arial" w:hAnsi="Arial" w:cs="Arial"/>
          <w:sz w:val="24"/>
          <w:szCs w:val="24"/>
        </w:rPr>
        <w:t>con el objeto que la LXIV Legislatura del Congreso del Estado de Yucatán suscriba y presente a la Cámara de Diputados Federal</w:t>
      </w:r>
      <w:r w:rsidR="00370C83">
        <w:rPr>
          <w:rFonts w:ascii="Arial" w:hAnsi="Arial" w:cs="Arial"/>
          <w:b/>
          <w:bCs/>
          <w:sz w:val="24"/>
          <w:szCs w:val="24"/>
        </w:rPr>
        <w:t xml:space="preserve"> </w:t>
      </w:r>
      <w:r w:rsidR="00370C83">
        <w:rPr>
          <w:rFonts w:ascii="Arial" w:hAnsi="Arial" w:cs="Arial"/>
          <w:sz w:val="24"/>
          <w:szCs w:val="24"/>
        </w:rPr>
        <w:t>al tenor de la siguiente:</w:t>
      </w:r>
    </w:p>
    <w:p w14:paraId="3F3E597C" w14:textId="77777777" w:rsidR="00370C83" w:rsidRDefault="00370C83" w:rsidP="00370C8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FBBDAA" w14:textId="77777777" w:rsidR="00370C83" w:rsidRDefault="00370C83" w:rsidP="00370C8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EXPOSICIÓN DE MOTIVOS</w:t>
      </w:r>
    </w:p>
    <w:p w14:paraId="4D37A314" w14:textId="77777777" w:rsidR="00091FA3" w:rsidRDefault="00091FA3" w:rsidP="00370C8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98FFF7" w14:textId="77777777" w:rsidR="00EA7F70" w:rsidRDefault="00EA7F70" w:rsidP="00EA7F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A7F70">
        <w:rPr>
          <w:rFonts w:ascii="Arial" w:hAnsi="Arial" w:cs="Arial"/>
          <w:sz w:val="24"/>
          <w:szCs w:val="24"/>
        </w:rPr>
        <w:t>or decreto 68 publicado el 10 de septiembre de 1976 en el Diario Oficial</w:t>
      </w:r>
      <w:r>
        <w:rPr>
          <w:rFonts w:ascii="Arial" w:hAnsi="Arial" w:cs="Arial"/>
          <w:sz w:val="24"/>
          <w:szCs w:val="24"/>
        </w:rPr>
        <w:t xml:space="preserve"> del Estado de Yucatán, nace</w:t>
      </w:r>
      <w:r w:rsidRPr="00EA7F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EA7F70">
        <w:rPr>
          <w:rFonts w:ascii="Arial" w:hAnsi="Arial" w:cs="Arial"/>
          <w:sz w:val="24"/>
          <w:szCs w:val="24"/>
        </w:rPr>
        <w:t>l Instituto de Seguridad Social de los Trabajadores del</w:t>
      </w:r>
      <w:r>
        <w:rPr>
          <w:rFonts w:ascii="Arial" w:hAnsi="Arial" w:cs="Arial"/>
          <w:sz w:val="24"/>
          <w:szCs w:val="24"/>
        </w:rPr>
        <w:t xml:space="preserve"> </w:t>
      </w:r>
      <w:r w:rsidRPr="00EA7F70">
        <w:rPr>
          <w:rFonts w:ascii="Arial" w:hAnsi="Arial" w:cs="Arial"/>
          <w:sz w:val="24"/>
          <w:szCs w:val="24"/>
        </w:rPr>
        <w:t>Estado de Yucatán (ISSTEY, en adelante), nace como un Organismo Público</w:t>
      </w:r>
      <w:r>
        <w:rPr>
          <w:rFonts w:ascii="Arial" w:hAnsi="Arial" w:cs="Arial"/>
          <w:sz w:val="24"/>
          <w:szCs w:val="24"/>
        </w:rPr>
        <w:t xml:space="preserve"> </w:t>
      </w:r>
      <w:r w:rsidRPr="00EA7F70">
        <w:rPr>
          <w:rFonts w:ascii="Arial" w:hAnsi="Arial" w:cs="Arial"/>
          <w:sz w:val="24"/>
          <w:szCs w:val="24"/>
        </w:rPr>
        <w:t>Descentralizado del Gobierno del Estado, con personalidad jurídica, patrimonios</w:t>
      </w:r>
      <w:r>
        <w:rPr>
          <w:rFonts w:ascii="Arial" w:hAnsi="Arial" w:cs="Arial"/>
          <w:sz w:val="24"/>
          <w:szCs w:val="24"/>
        </w:rPr>
        <w:t xml:space="preserve"> </w:t>
      </w:r>
      <w:r w:rsidRPr="00EA7F70">
        <w:rPr>
          <w:rFonts w:ascii="Arial" w:hAnsi="Arial" w:cs="Arial"/>
          <w:sz w:val="24"/>
          <w:szCs w:val="24"/>
        </w:rPr>
        <w:t>propios, órganos de gobierno y administración propios, cuyo objeto es garantizar a</w:t>
      </w:r>
      <w:r>
        <w:rPr>
          <w:rFonts w:ascii="Arial" w:hAnsi="Arial" w:cs="Arial"/>
          <w:sz w:val="24"/>
          <w:szCs w:val="24"/>
        </w:rPr>
        <w:t xml:space="preserve"> </w:t>
      </w:r>
      <w:r w:rsidRPr="00EA7F70">
        <w:rPr>
          <w:rFonts w:ascii="Arial" w:hAnsi="Arial" w:cs="Arial"/>
          <w:sz w:val="24"/>
          <w:szCs w:val="24"/>
        </w:rPr>
        <w:t>los servidores públicos y a sus familiares o dependientes económicos, el derecho</w:t>
      </w:r>
      <w:r>
        <w:rPr>
          <w:rFonts w:ascii="Arial" w:hAnsi="Arial" w:cs="Arial"/>
          <w:sz w:val="24"/>
          <w:szCs w:val="24"/>
        </w:rPr>
        <w:t xml:space="preserve"> </w:t>
      </w:r>
      <w:r w:rsidRPr="00EA7F70">
        <w:rPr>
          <w:rFonts w:ascii="Arial" w:hAnsi="Arial" w:cs="Arial"/>
          <w:sz w:val="24"/>
          <w:szCs w:val="24"/>
        </w:rPr>
        <w:t>humano a la salud, la asistencia médica, la protección de los medios de</w:t>
      </w:r>
      <w:r>
        <w:rPr>
          <w:rFonts w:ascii="Arial" w:hAnsi="Arial" w:cs="Arial"/>
          <w:sz w:val="24"/>
          <w:szCs w:val="24"/>
        </w:rPr>
        <w:t xml:space="preserve"> </w:t>
      </w:r>
      <w:r w:rsidRPr="00EA7F70">
        <w:rPr>
          <w:rFonts w:ascii="Arial" w:hAnsi="Arial" w:cs="Arial"/>
          <w:sz w:val="24"/>
          <w:szCs w:val="24"/>
        </w:rPr>
        <w:t>subsistencia, prestaciones económicas y servicios sociales para el bienestar</w:t>
      </w:r>
      <w:r>
        <w:rPr>
          <w:rFonts w:ascii="Arial" w:hAnsi="Arial" w:cs="Arial"/>
          <w:sz w:val="24"/>
          <w:szCs w:val="24"/>
        </w:rPr>
        <w:t xml:space="preserve"> </w:t>
      </w:r>
      <w:r w:rsidRPr="00EA7F70">
        <w:rPr>
          <w:rFonts w:ascii="Arial" w:hAnsi="Arial" w:cs="Arial"/>
          <w:sz w:val="24"/>
          <w:szCs w:val="24"/>
        </w:rPr>
        <w:t>individual y colectivo; es decir, ofrece seguridad social a los trabajadores del</w:t>
      </w:r>
      <w:r>
        <w:rPr>
          <w:rFonts w:ascii="Arial" w:hAnsi="Arial" w:cs="Arial"/>
          <w:sz w:val="24"/>
          <w:szCs w:val="24"/>
        </w:rPr>
        <w:t xml:space="preserve"> </w:t>
      </w:r>
      <w:r w:rsidRPr="00EA7F70">
        <w:rPr>
          <w:rFonts w:ascii="Arial" w:hAnsi="Arial" w:cs="Arial"/>
          <w:sz w:val="24"/>
          <w:szCs w:val="24"/>
        </w:rPr>
        <w:t>estado de Yucatán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5A817DF" w14:textId="5F5CA2C6" w:rsidR="00370C83" w:rsidRDefault="00EA7F70" w:rsidP="00E3229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este, existen numerosos institutos y dependencias, prácticamente una en cada entidad de la federación, encargadas de velar por la seguridad social de los trabajadores de su demarcación territorial. </w:t>
      </w:r>
    </w:p>
    <w:p w14:paraId="2B8E4AA8" w14:textId="77777777" w:rsidR="00EF414F" w:rsidRDefault="00EF414F" w:rsidP="00E3229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98D791" w14:textId="77777777" w:rsidR="00EF414F" w:rsidRDefault="00EF414F" w:rsidP="00E3229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81425A" w14:textId="77777777" w:rsidR="00EF414F" w:rsidRDefault="00EF414F" w:rsidP="00E3229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F53623" w14:textId="1826CCEE" w:rsidR="00457859" w:rsidRDefault="00457859" w:rsidP="00E3229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Estos organismos de forma regular, atienden y garantizan los servicios de seguridad social para los trabajadores, pero cuándo los recursos que les son necesarios para cumplir sus fines se ven comprometidos</w:t>
      </w:r>
      <w:r w:rsidR="00342A4B">
        <w:rPr>
          <w:rFonts w:ascii="Arial" w:hAnsi="Arial" w:cs="Arial"/>
          <w:sz w:val="24"/>
          <w:szCs w:val="24"/>
        </w:rPr>
        <w:t>;</w:t>
      </w:r>
      <w:r w:rsidR="00EF414F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ntran en crisis</w:t>
      </w:r>
      <w:r w:rsidR="00EF414F">
        <w:rPr>
          <w:rFonts w:ascii="Arial" w:hAnsi="Arial" w:cs="Arial"/>
          <w:sz w:val="24"/>
          <w:szCs w:val="24"/>
        </w:rPr>
        <w:t>, por lo se ven en la necesidad de</w:t>
      </w:r>
      <w:r>
        <w:rPr>
          <w:rFonts w:ascii="Arial" w:hAnsi="Arial" w:cs="Arial"/>
          <w:sz w:val="24"/>
          <w:szCs w:val="24"/>
        </w:rPr>
        <w:t xml:space="preserve"> reestructura</w:t>
      </w:r>
      <w:r w:rsidR="00EF414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sus leyes</w:t>
      </w:r>
      <w:r w:rsidR="00EF41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las condiciones de trabajo del organismo, que muchas veces obligan a incrementar las cuotas que pagan los trabajadores.</w:t>
      </w:r>
    </w:p>
    <w:p w14:paraId="2E69BC66" w14:textId="6FC413A7" w:rsidR="00370C83" w:rsidRDefault="00AC365C" w:rsidP="00E152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</w:t>
      </w:r>
      <w:r w:rsidR="00342A4B">
        <w:rPr>
          <w:rFonts w:ascii="Arial" w:hAnsi="Arial" w:cs="Arial"/>
          <w:sz w:val="24"/>
          <w:szCs w:val="24"/>
        </w:rPr>
        <w:t>anterior</w:t>
      </w:r>
      <w:r>
        <w:rPr>
          <w:rFonts w:ascii="Arial" w:hAnsi="Arial" w:cs="Arial"/>
          <w:sz w:val="24"/>
          <w:szCs w:val="24"/>
        </w:rPr>
        <w:t xml:space="preserve">, </w:t>
      </w:r>
      <w:r w:rsidR="00342A4B">
        <w:rPr>
          <w:rFonts w:ascii="Arial" w:hAnsi="Arial" w:cs="Arial"/>
          <w:sz w:val="24"/>
          <w:szCs w:val="24"/>
        </w:rPr>
        <w:t>consideramos importante</w:t>
      </w:r>
      <w:r w:rsidR="00370C83">
        <w:rPr>
          <w:rFonts w:ascii="Arial" w:hAnsi="Arial" w:cs="Arial"/>
          <w:sz w:val="24"/>
          <w:szCs w:val="24"/>
        </w:rPr>
        <w:t xml:space="preserve"> garantizar</w:t>
      </w:r>
      <w:r>
        <w:rPr>
          <w:rFonts w:ascii="Arial" w:hAnsi="Arial" w:cs="Arial"/>
          <w:sz w:val="24"/>
          <w:szCs w:val="24"/>
        </w:rPr>
        <w:t xml:space="preserve"> el pago oportuno de las cuotas de seguridad social que se le retienen a los trabajadores para que éstos sean aplicados </w:t>
      </w:r>
      <w:r w:rsidR="00E152DF">
        <w:rPr>
          <w:rFonts w:ascii="Arial" w:hAnsi="Arial" w:cs="Arial"/>
          <w:sz w:val="24"/>
          <w:szCs w:val="24"/>
        </w:rPr>
        <w:t>en su beneficio</w:t>
      </w:r>
      <w:r w:rsidR="00370C83">
        <w:rPr>
          <w:rFonts w:ascii="Arial" w:hAnsi="Arial" w:cs="Arial"/>
          <w:sz w:val="24"/>
          <w:szCs w:val="24"/>
        </w:rPr>
        <w:t xml:space="preserve"> e inhibir la mala práctica de no pagar las cuotas.</w:t>
      </w:r>
    </w:p>
    <w:p w14:paraId="6B19911D" w14:textId="78F1373D" w:rsidR="00E152DF" w:rsidRPr="00342A4B" w:rsidRDefault="00342A4B" w:rsidP="00E152D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ello, es de gran relevancia mencionar que i</w:t>
      </w:r>
      <w:r w:rsidR="00E152DF">
        <w:rPr>
          <w:rFonts w:ascii="Arial" w:hAnsi="Arial" w:cs="Arial"/>
          <w:sz w:val="24"/>
          <w:szCs w:val="24"/>
        </w:rPr>
        <w:t xml:space="preserve">ndependientemente de las consecuencias civiles, penales o políticas que estas faltas pudieran generar, la falta de pago de las cuotas de seguridad social, ya se considera como una falta grave en la Ley General de Responsabilidades Administrativas, </w:t>
      </w:r>
      <w:r w:rsidR="00E152DF" w:rsidRPr="00342A4B">
        <w:rPr>
          <w:rFonts w:ascii="Arial" w:hAnsi="Arial" w:cs="Arial"/>
          <w:b/>
          <w:bCs/>
          <w:sz w:val="24"/>
          <w:szCs w:val="24"/>
        </w:rPr>
        <w:t>pero únicamente para aquellas cuotas que deben ser enteradas al Instituto de Servicios y Seguridad Social de los Trabajadores del Estado, es decir el ISSSTE federal.</w:t>
      </w:r>
    </w:p>
    <w:p w14:paraId="5923B51A" w14:textId="7DDE9DAC" w:rsidR="009363F3" w:rsidRPr="009363F3" w:rsidRDefault="00EF414F" w:rsidP="009363F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que consideramos importante, establecer en l</w:t>
      </w:r>
      <w:r w:rsidR="009363F3">
        <w:rPr>
          <w:rFonts w:ascii="Arial" w:hAnsi="Arial" w:cs="Arial"/>
          <w:sz w:val="24"/>
          <w:szCs w:val="24"/>
        </w:rPr>
        <w:t xml:space="preserve">a Ley General de Responsabilidades Administrativas de los Servidores Públicos que </w:t>
      </w:r>
      <w:r w:rsidR="00E152DF">
        <w:rPr>
          <w:rFonts w:ascii="Arial" w:hAnsi="Arial" w:cs="Arial"/>
          <w:sz w:val="24"/>
          <w:szCs w:val="24"/>
        </w:rPr>
        <w:t>la falta de pago o entrega oportuna de las cuotas de seguridad social estatales</w:t>
      </w:r>
      <w:r w:rsidR="009363F3">
        <w:rPr>
          <w:rFonts w:ascii="Arial" w:hAnsi="Arial" w:cs="Arial"/>
          <w:sz w:val="24"/>
          <w:szCs w:val="24"/>
        </w:rPr>
        <w:t xml:space="preserve">, </w:t>
      </w:r>
      <w:r w:rsidR="009363F3" w:rsidRPr="009363F3">
        <w:rPr>
          <w:rFonts w:ascii="Arial" w:hAnsi="Arial" w:cs="Arial"/>
          <w:b/>
          <w:bCs/>
          <w:sz w:val="24"/>
          <w:szCs w:val="24"/>
        </w:rPr>
        <w:t>sean consideradas como faltas graves.</w:t>
      </w:r>
    </w:p>
    <w:p w14:paraId="61C64C98" w14:textId="11B23D1F" w:rsidR="00370C83" w:rsidRDefault="009363F3" w:rsidP="009363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anterior, es </w:t>
      </w:r>
      <w:r w:rsidR="00342A4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destacar que </w:t>
      </w:r>
      <w:r w:rsidR="00342A4B">
        <w:rPr>
          <w:rFonts w:ascii="Arial" w:hAnsi="Arial" w:cs="Arial"/>
          <w:sz w:val="24"/>
          <w:szCs w:val="24"/>
        </w:rPr>
        <w:t>es en</w:t>
      </w:r>
      <w:r w:rsidR="00C952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 w:rsidR="00C952B8">
        <w:rPr>
          <w:rFonts w:ascii="Arial" w:hAnsi="Arial" w:cs="Arial"/>
          <w:sz w:val="24"/>
          <w:szCs w:val="24"/>
        </w:rPr>
        <w:t xml:space="preserve"> </w:t>
      </w:r>
      <w:r w:rsidR="00370C83">
        <w:rPr>
          <w:rFonts w:ascii="Arial" w:hAnsi="Arial" w:cs="Arial"/>
          <w:sz w:val="24"/>
          <w:szCs w:val="24"/>
        </w:rPr>
        <w:t>artículo 64 Ter</w:t>
      </w:r>
      <w:r w:rsidR="00C952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la Ley antes referida, </w:t>
      </w:r>
      <w:r w:rsidR="00342A4B">
        <w:rPr>
          <w:rFonts w:ascii="Arial" w:hAnsi="Arial" w:cs="Arial"/>
          <w:sz w:val="24"/>
          <w:szCs w:val="24"/>
        </w:rPr>
        <w:t xml:space="preserve">donde se </w:t>
      </w:r>
      <w:r>
        <w:rPr>
          <w:rFonts w:ascii="Arial" w:hAnsi="Arial" w:cs="Arial"/>
          <w:sz w:val="24"/>
          <w:szCs w:val="24"/>
        </w:rPr>
        <w:t>establece</w:t>
      </w:r>
      <w:r w:rsidR="00C952B8">
        <w:rPr>
          <w:rFonts w:ascii="Arial" w:hAnsi="Arial" w:cs="Arial"/>
          <w:sz w:val="24"/>
          <w:szCs w:val="24"/>
        </w:rPr>
        <w:t xml:space="preserve"> </w:t>
      </w:r>
      <w:r w:rsidR="008C09E3">
        <w:rPr>
          <w:rFonts w:ascii="Arial" w:hAnsi="Arial" w:cs="Arial"/>
          <w:sz w:val="24"/>
          <w:szCs w:val="24"/>
        </w:rPr>
        <w:t>como</w:t>
      </w:r>
      <w:r w:rsidR="00C952B8">
        <w:rPr>
          <w:rFonts w:ascii="Arial" w:hAnsi="Arial" w:cs="Arial"/>
          <w:sz w:val="24"/>
          <w:szCs w:val="24"/>
        </w:rPr>
        <w:t xml:space="preserve"> </w:t>
      </w:r>
      <w:r w:rsidR="008C09E3" w:rsidRPr="008C09E3">
        <w:rPr>
          <w:rFonts w:ascii="Arial" w:hAnsi="Arial" w:cs="Arial"/>
          <w:sz w:val="24"/>
          <w:szCs w:val="24"/>
        </w:rPr>
        <w:t>falta administrativa grave, la omisión de enterar las cuotas, aportaciones, cuotas sociales o descuentos ante el Instituto de Seguridad y Servicios Sociales de los Trabajadores del Estado</w:t>
      </w:r>
      <w:r w:rsidR="008C09E3">
        <w:rPr>
          <w:rFonts w:ascii="Arial" w:hAnsi="Arial" w:cs="Arial"/>
          <w:sz w:val="24"/>
          <w:szCs w:val="24"/>
        </w:rPr>
        <w:t>, de conformidad con lo estipulado en la propia ley federal del ISSSTE.</w:t>
      </w:r>
    </w:p>
    <w:p w14:paraId="4F616435" w14:textId="6B97D7F0" w:rsidR="008C09E3" w:rsidRPr="001926EA" w:rsidRDefault="008C09E3" w:rsidP="001926E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ese sentido, la presente iniciativa tiene por objeto proponer la</w:t>
      </w:r>
      <w:r w:rsidR="00370C83">
        <w:rPr>
          <w:rFonts w:ascii="Arial" w:hAnsi="Arial" w:cs="Arial"/>
          <w:sz w:val="24"/>
          <w:szCs w:val="24"/>
        </w:rPr>
        <w:t xml:space="preserve"> adición de</w:t>
      </w:r>
      <w:r>
        <w:rPr>
          <w:rFonts w:ascii="Arial" w:hAnsi="Arial" w:cs="Arial"/>
          <w:sz w:val="24"/>
          <w:szCs w:val="24"/>
        </w:rPr>
        <w:t xml:space="preserve"> un</w:t>
      </w:r>
      <w:r w:rsidR="00370C83">
        <w:rPr>
          <w:rFonts w:ascii="Arial" w:hAnsi="Arial" w:cs="Arial"/>
          <w:sz w:val="24"/>
          <w:szCs w:val="24"/>
        </w:rPr>
        <w:t xml:space="preserve"> segundo párrafo</w:t>
      </w:r>
      <w:r>
        <w:rPr>
          <w:rFonts w:ascii="Arial" w:hAnsi="Arial" w:cs="Arial"/>
          <w:sz w:val="24"/>
          <w:szCs w:val="24"/>
        </w:rPr>
        <w:t xml:space="preserve"> a dicho artículo para considerar también como </w:t>
      </w:r>
      <w:r w:rsidRPr="001926EA">
        <w:rPr>
          <w:rFonts w:ascii="Arial" w:hAnsi="Arial" w:cs="Arial"/>
          <w:bCs/>
          <w:sz w:val="24"/>
          <w:szCs w:val="24"/>
        </w:rPr>
        <w:t>falta administrativa</w:t>
      </w:r>
      <w:r w:rsidR="001926EA">
        <w:rPr>
          <w:rFonts w:ascii="Arial" w:hAnsi="Arial" w:cs="Arial"/>
          <w:bCs/>
          <w:sz w:val="24"/>
          <w:szCs w:val="24"/>
        </w:rPr>
        <w:t xml:space="preserve"> </w:t>
      </w:r>
      <w:r w:rsidRPr="001926EA">
        <w:rPr>
          <w:rFonts w:ascii="Arial" w:hAnsi="Arial" w:cs="Arial"/>
          <w:bCs/>
          <w:sz w:val="24"/>
          <w:szCs w:val="24"/>
        </w:rPr>
        <w:t>grave, la omisión de enterar las cuotas, aportaciones, cuotas sociales o</w:t>
      </w:r>
      <w:r w:rsidR="001926EA">
        <w:rPr>
          <w:rFonts w:ascii="Arial" w:hAnsi="Arial" w:cs="Arial"/>
          <w:bCs/>
          <w:sz w:val="24"/>
          <w:szCs w:val="24"/>
        </w:rPr>
        <w:t xml:space="preserve"> </w:t>
      </w:r>
      <w:r w:rsidRPr="001926EA">
        <w:rPr>
          <w:rFonts w:ascii="Arial" w:hAnsi="Arial" w:cs="Arial"/>
          <w:bCs/>
          <w:sz w:val="24"/>
          <w:szCs w:val="24"/>
        </w:rPr>
        <w:t>descuentos ante los Institutos de Seguridad y Servicios Sociales de los</w:t>
      </w:r>
      <w:r w:rsidR="001926EA">
        <w:rPr>
          <w:rFonts w:ascii="Arial" w:hAnsi="Arial" w:cs="Arial"/>
          <w:bCs/>
          <w:sz w:val="24"/>
          <w:szCs w:val="24"/>
        </w:rPr>
        <w:t xml:space="preserve"> </w:t>
      </w:r>
      <w:r w:rsidRPr="001926EA">
        <w:rPr>
          <w:rFonts w:ascii="Arial" w:hAnsi="Arial" w:cs="Arial"/>
          <w:bCs/>
          <w:sz w:val="24"/>
          <w:szCs w:val="24"/>
        </w:rPr>
        <w:t>Trabajadores de los Estados, en los términos que señalen las leyes locales</w:t>
      </w:r>
      <w:r w:rsidR="001926EA">
        <w:rPr>
          <w:rFonts w:ascii="Arial" w:hAnsi="Arial" w:cs="Arial"/>
          <w:bCs/>
          <w:sz w:val="24"/>
          <w:szCs w:val="24"/>
        </w:rPr>
        <w:t xml:space="preserve"> </w:t>
      </w:r>
      <w:r w:rsidRPr="001926EA">
        <w:rPr>
          <w:rFonts w:ascii="Arial" w:hAnsi="Arial" w:cs="Arial"/>
          <w:bCs/>
          <w:sz w:val="24"/>
          <w:szCs w:val="24"/>
        </w:rPr>
        <w:t>correspondientes</w:t>
      </w:r>
      <w:r w:rsidR="001926EA">
        <w:rPr>
          <w:rFonts w:ascii="Arial" w:hAnsi="Arial" w:cs="Arial"/>
          <w:bCs/>
          <w:sz w:val="24"/>
          <w:szCs w:val="24"/>
        </w:rPr>
        <w:t>.</w:t>
      </w:r>
    </w:p>
    <w:p w14:paraId="18818C6A" w14:textId="77777777" w:rsidR="00342A4B" w:rsidRDefault="00342A4B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923D5" w14:textId="77777777" w:rsidR="00342A4B" w:rsidRDefault="00342A4B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C1F52C" w14:textId="77777777" w:rsidR="00342A4B" w:rsidRDefault="00342A4B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85F651" w14:textId="77777777" w:rsidR="00342A4B" w:rsidRDefault="00342A4B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8E0803" w14:textId="77777777" w:rsidR="00342A4B" w:rsidRDefault="00342A4B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C05071" w14:textId="77777777" w:rsidR="00342A4B" w:rsidRDefault="00342A4B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1A655" w14:textId="77777777" w:rsidR="00342A4B" w:rsidRDefault="00342A4B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A17561" w14:textId="5B72D35F" w:rsidR="00342A4B" w:rsidRDefault="001926EA" w:rsidP="00342A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bien,</w:t>
      </w:r>
      <w:r w:rsidR="00342A4B">
        <w:rPr>
          <w:rFonts w:ascii="Arial" w:hAnsi="Arial" w:cs="Arial"/>
          <w:sz w:val="24"/>
          <w:szCs w:val="24"/>
        </w:rPr>
        <w:t xml:space="preserve"> otro punto importante que abarca esta iniciativa, es la</w:t>
      </w:r>
      <w:r w:rsidR="00370C83">
        <w:rPr>
          <w:rFonts w:ascii="Arial" w:hAnsi="Arial" w:cs="Arial"/>
          <w:sz w:val="24"/>
          <w:szCs w:val="24"/>
        </w:rPr>
        <w:t xml:space="preserve"> derogación del </w:t>
      </w:r>
      <w:r w:rsidR="00342A4B">
        <w:rPr>
          <w:rFonts w:ascii="Arial" w:hAnsi="Arial" w:cs="Arial"/>
          <w:sz w:val="24"/>
          <w:szCs w:val="24"/>
        </w:rPr>
        <w:t>a</w:t>
      </w:r>
      <w:r w:rsidR="00370C83">
        <w:rPr>
          <w:rFonts w:ascii="Arial" w:hAnsi="Arial" w:cs="Arial"/>
          <w:sz w:val="24"/>
          <w:szCs w:val="24"/>
        </w:rPr>
        <w:t>rtículo 80 Bis</w:t>
      </w:r>
      <w:r w:rsidR="00342A4B">
        <w:rPr>
          <w:rFonts w:ascii="Arial" w:hAnsi="Arial" w:cs="Arial"/>
          <w:sz w:val="24"/>
          <w:szCs w:val="24"/>
        </w:rPr>
        <w:t xml:space="preserve">, el cual, señala que, si los beneficios obtenidos por cohecho o desvío de recursos </w:t>
      </w:r>
      <w:r w:rsidR="00342A4B" w:rsidRPr="0040704A">
        <w:rPr>
          <w:rFonts w:ascii="Arial" w:hAnsi="Arial" w:cs="Arial"/>
          <w:sz w:val="24"/>
          <w:szCs w:val="24"/>
        </w:rPr>
        <w:t xml:space="preserve">no excede el equivalente a cinco mil veces el valor diario de la Unidad de Medida y Actualización, </w:t>
      </w:r>
      <w:r w:rsidR="00342A4B">
        <w:rPr>
          <w:rFonts w:ascii="Arial" w:hAnsi="Arial" w:cs="Arial"/>
          <w:sz w:val="24"/>
          <w:szCs w:val="24"/>
        </w:rPr>
        <w:t>esto es como 565,700 (quinientos sesenta y cinco mil pesos) actualmente. Y, que,</w:t>
      </w:r>
      <w:r w:rsidR="00342A4B" w:rsidRPr="0040704A">
        <w:rPr>
          <w:rFonts w:ascii="Arial" w:hAnsi="Arial" w:cs="Arial"/>
          <w:sz w:val="24"/>
          <w:szCs w:val="24"/>
        </w:rPr>
        <w:t xml:space="preserve"> además</w:t>
      </w:r>
      <w:r w:rsidR="00342A4B">
        <w:rPr>
          <w:rFonts w:ascii="Arial" w:hAnsi="Arial" w:cs="Arial"/>
          <w:sz w:val="24"/>
          <w:szCs w:val="24"/>
        </w:rPr>
        <w:t>, si</w:t>
      </w:r>
      <w:r w:rsidR="00342A4B" w:rsidRPr="0040704A">
        <w:rPr>
          <w:rFonts w:ascii="Arial" w:hAnsi="Arial" w:cs="Arial"/>
          <w:sz w:val="24"/>
          <w:szCs w:val="24"/>
        </w:rPr>
        <w:t xml:space="preserve"> se ha devuelto la cantidad entregada o depositada en demasía conforme al tabulador aplicable, la falta administrativa será considerada no grave.</w:t>
      </w:r>
    </w:p>
    <w:p w14:paraId="6619770E" w14:textId="5F23D4F4" w:rsidR="00370C83" w:rsidRDefault="00370C83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 necesario señalar que en la exposición de motivos de</w:t>
      </w:r>
      <w:r w:rsidR="001926EA">
        <w:rPr>
          <w:rFonts w:ascii="Arial" w:hAnsi="Arial" w:cs="Arial"/>
          <w:sz w:val="24"/>
          <w:szCs w:val="24"/>
        </w:rPr>
        <w:t xml:space="preserve"> la iniciativa por la que se propuso la inclusión de</w:t>
      </w:r>
      <w:r>
        <w:rPr>
          <w:rFonts w:ascii="Arial" w:hAnsi="Arial" w:cs="Arial"/>
          <w:sz w:val="24"/>
          <w:szCs w:val="24"/>
        </w:rPr>
        <w:t xml:space="preserve"> </w:t>
      </w:r>
      <w:r w:rsidR="0006683A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artículo</w:t>
      </w:r>
      <w:r w:rsidR="000668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 manifestó cuál era el objetivo </w:t>
      </w:r>
      <w:r w:rsidR="001926EA">
        <w:rPr>
          <w:rFonts w:ascii="Arial" w:hAnsi="Arial" w:cs="Arial"/>
          <w:sz w:val="24"/>
          <w:szCs w:val="24"/>
        </w:rPr>
        <w:t>que perseguía e</w:t>
      </w:r>
      <w:r w:rsidR="0006683A">
        <w:rPr>
          <w:rFonts w:ascii="Arial" w:hAnsi="Arial" w:cs="Arial"/>
          <w:sz w:val="24"/>
          <w:szCs w:val="24"/>
        </w:rPr>
        <w:t>l contenido del</w:t>
      </w:r>
      <w:r w:rsidR="001926EA">
        <w:rPr>
          <w:rFonts w:ascii="Arial" w:hAnsi="Arial" w:cs="Arial"/>
          <w:sz w:val="24"/>
          <w:szCs w:val="24"/>
        </w:rPr>
        <w:t xml:space="preserve"> artículo</w:t>
      </w:r>
      <w:r w:rsidR="0006683A">
        <w:rPr>
          <w:rFonts w:ascii="Arial" w:hAnsi="Arial" w:cs="Arial"/>
          <w:sz w:val="24"/>
          <w:szCs w:val="24"/>
        </w:rPr>
        <w:t xml:space="preserve"> 80 Bis</w:t>
      </w:r>
      <w:r w:rsidR="00342A4B"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</w:rPr>
        <w:t>i se expuso las razones por las cuáles resultaba necesario incluir una atenuante como la que regula dicho artículo.</w:t>
      </w:r>
    </w:p>
    <w:p w14:paraId="68F49E83" w14:textId="5BF38EDC" w:rsidR="005E210E" w:rsidRDefault="005E210E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decir, que ese artículo permite disminuir el grado de responsabilidad mediante el pago de lo obtenido por cohecho o desvío de recursos más un extra.</w:t>
      </w:r>
    </w:p>
    <w:p w14:paraId="79F9406E" w14:textId="67801447" w:rsidR="00370C83" w:rsidRDefault="009363F3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que, podemos concluir</w:t>
      </w:r>
      <w:r w:rsidR="005E210E">
        <w:rPr>
          <w:rFonts w:ascii="Arial" w:hAnsi="Arial" w:cs="Arial"/>
          <w:sz w:val="24"/>
          <w:szCs w:val="24"/>
        </w:rPr>
        <w:t>,</w:t>
      </w:r>
      <w:r w:rsidR="00370C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con la aprobación del artículo 80 Bis</w:t>
      </w:r>
      <w:r w:rsidR="00370C83">
        <w:rPr>
          <w:rFonts w:ascii="Arial" w:hAnsi="Arial" w:cs="Arial"/>
          <w:sz w:val="24"/>
          <w:szCs w:val="24"/>
        </w:rPr>
        <w:t xml:space="preserve">, </w:t>
      </w:r>
      <w:r w:rsidR="00370C83" w:rsidRPr="001B4427">
        <w:rPr>
          <w:rFonts w:ascii="Arial" w:hAnsi="Arial" w:cs="Arial"/>
          <w:sz w:val="24"/>
          <w:szCs w:val="24"/>
        </w:rPr>
        <w:t xml:space="preserve">se puede incurrir en </w:t>
      </w:r>
      <w:r w:rsidR="00370C83">
        <w:rPr>
          <w:rFonts w:ascii="Arial" w:hAnsi="Arial" w:cs="Arial"/>
          <w:sz w:val="24"/>
          <w:szCs w:val="24"/>
        </w:rPr>
        <w:t>los</w:t>
      </w:r>
      <w:r w:rsidR="00370C83" w:rsidRPr="001B4427">
        <w:rPr>
          <w:rFonts w:ascii="Arial" w:hAnsi="Arial" w:cs="Arial"/>
          <w:sz w:val="24"/>
          <w:szCs w:val="24"/>
        </w:rPr>
        <w:t xml:space="preserve"> </w:t>
      </w:r>
      <w:r w:rsidR="00370C83">
        <w:rPr>
          <w:rFonts w:ascii="Arial" w:hAnsi="Arial" w:cs="Arial"/>
          <w:sz w:val="24"/>
          <w:szCs w:val="24"/>
        </w:rPr>
        <w:t>ilícitos</w:t>
      </w:r>
      <w:r w:rsidR="00370C83" w:rsidRPr="001B4427">
        <w:rPr>
          <w:rFonts w:ascii="Arial" w:hAnsi="Arial" w:cs="Arial"/>
          <w:sz w:val="24"/>
          <w:szCs w:val="24"/>
        </w:rPr>
        <w:t xml:space="preserve"> de cohecho </w:t>
      </w:r>
      <w:r w:rsidR="00370C83">
        <w:rPr>
          <w:rFonts w:ascii="Arial" w:hAnsi="Arial" w:cs="Arial"/>
          <w:sz w:val="24"/>
          <w:szCs w:val="24"/>
        </w:rPr>
        <w:t>o</w:t>
      </w:r>
      <w:r w:rsidR="00370C83" w:rsidRPr="001B4427">
        <w:rPr>
          <w:rFonts w:ascii="Arial" w:hAnsi="Arial" w:cs="Arial"/>
          <w:sz w:val="24"/>
          <w:szCs w:val="24"/>
        </w:rPr>
        <w:t xml:space="preserve"> de desvíos de recursos públicos, y la falta será considerada como no grave, siempre y cuando el beneficio obtenido no exceda cinco mil veces la Unidad de Medida y Actualización, y se devuelva el dinero obtenido en demasía. </w:t>
      </w:r>
    </w:p>
    <w:p w14:paraId="1D0C3B2E" w14:textId="73CDFB19" w:rsidR="00E63970" w:rsidRDefault="00E63970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decir, que permite a los administradores de recursos robar lo que quieran, y solo si son atrapados, se verán obligados devolver el dinero más una cantidad adicional sin mayor consecuencia, pues entonces si pagan, se pasa a considerar ya no una falta grave, sino solo una falta administrativa no grave.</w:t>
      </w:r>
    </w:p>
    <w:p w14:paraId="765C606C" w14:textId="4EC8722B" w:rsidR="005008B6" w:rsidRDefault="00370C83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4427">
        <w:rPr>
          <w:rFonts w:ascii="Arial" w:hAnsi="Arial" w:cs="Arial"/>
          <w:sz w:val="24"/>
          <w:szCs w:val="24"/>
        </w:rPr>
        <w:t xml:space="preserve">Lo anterior resulta absurdo y carente de lógica, al regular además atenuantes al hecho ilícito, consistentes en que el beneficio obtenido no sea mucho y que se devuelva lo obtenido en demasía. </w:t>
      </w:r>
    </w:p>
    <w:p w14:paraId="6A29AED3" w14:textId="4D8B5C2F" w:rsidR="00370C83" w:rsidRDefault="00370C83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4427">
        <w:rPr>
          <w:rFonts w:ascii="Arial" w:hAnsi="Arial" w:cs="Arial"/>
          <w:sz w:val="24"/>
          <w:szCs w:val="24"/>
        </w:rPr>
        <w:t>Por lo expuesto, y con la finalidad de garantizar y salvaguardar la esfera jurídica de los gobernados, es necesario proceder, sin dilación alguna, a eliminar el presente artículo de</w:t>
      </w:r>
      <w:r>
        <w:rPr>
          <w:rFonts w:ascii="Arial" w:hAnsi="Arial" w:cs="Arial"/>
          <w:sz w:val="24"/>
          <w:szCs w:val="24"/>
        </w:rPr>
        <w:t xml:space="preserve"> la Ley</w:t>
      </w:r>
      <w:r w:rsidRPr="001B4427">
        <w:rPr>
          <w:rFonts w:ascii="Arial" w:hAnsi="Arial" w:cs="Arial"/>
          <w:sz w:val="24"/>
          <w:szCs w:val="24"/>
        </w:rPr>
        <w:t xml:space="preserve"> que nos ocupa. </w:t>
      </w:r>
    </w:p>
    <w:p w14:paraId="33D9F808" w14:textId="6E051283" w:rsidR="0093724C" w:rsidRDefault="0093724C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bien, resulta oportuno mencionar que el punto medular, recae en que la diferencia entre considerar un cohecho o desvío de recursos como falta no grave o falta grave, recae en la imposición de sanciones.</w:t>
      </w:r>
    </w:p>
    <w:p w14:paraId="57DC154D" w14:textId="77777777" w:rsidR="00C413E4" w:rsidRDefault="00C413E4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40409C" w14:textId="77777777" w:rsidR="00C413E4" w:rsidRDefault="00C413E4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479FE7" w14:textId="77777777" w:rsidR="00C413E4" w:rsidRDefault="00C413E4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5D6E64" w14:textId="77777777" w:rsidR="00C413E4" w:rsidRDefault="00C413E4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685396" w14:textId="1688718A" w:rsidR="0093724C" w:rsidRDefault="0093724C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faltas no graves, la sanción de inhabilitación va de 3 meses a 1 año. Mientras que para las faltas graves va de 1 a 20 años de inhabilitación. Y esa, es la razón por la que los promoventes de la reforma la hayan incluido. Pretenden </w:t>
      </w:r>
      <w:r w:rsidR="00F60616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si un funcionario es atrapado en una apropiación de recursos por cohecho o un desvío de recursos, no se le inhabilite para ocupar un cargo público </w:t>
      </w:r>
      <w:r w:rsidR="00B634BF">
        <w:rPr>
          <w:rFonts w:ascii="Arial" w:hAnsi="Arial" w:cs="Arial"/>
          <w:sz w:val="24"/>
          <w:szCs w:val="24"/>
        </w:rPr>
        <w:t>por más de un año.</w:t>
      </w:r>
    </w:p>
    <w:p w14:paraId="60D59E59" w14:textId="18505A35" w:rsidR="00B634BF" w:rsidRDefault="00B634BF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Así, pueden descansar el período siguiente, y después regresar al ruedo político con los recursos robados, y es en este aspecto en el que M</w:t>
      </w:r>
      <w:r w:rsidR="00C26452">
        <w:rPr>
          <w:rFonts w:ascii="Arial" w:hAnsi="Arial" w:cs="Arial"/>
          <w:sz w:val="24"/>
          <w:szCs w:val="24"/>
        </w:rPr>
        <w:t>ovimiento Ciudadano,</w:t>
      </w:r>
      <w:r>
        <w:rPr>
          <w:rFonts w:ascii="Arial" w:hAnsi="Arial" w:cs="Arial"/>
          <w:sz w:val="24"/>
          <w:szCs w:val="24"/>
        </w:rPr>
        <w:t xml:space="preserve"> levanta la voz para señalar que:</w:t>
      </w:r>
    </w:p>
    <w:p w14:paraId="56AF96DE" w14:textId="22AFDD80" w:rsidR="00A7079B" w:rsidRDefault="00A7079B" w:rsidP="00A7079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F60616">
        <w:rPr>
          <w:rFonts w:ascii="Arial" w:hAnsi="Arial" w:cs="Arial"/>
          <w:sz w:val="24"/>
          <w:szCs w:val="24"/>
        </w:rPr>
        <w:t xml:space="preserve">se debe permitir </w:t>
      </w:r>
      <w:r>
        <w:rPr>
          <w:rFonts w:ascii="Arial" w:hAnsi="Arial" w:cs="Arial"/>
          <w:sz w:val="24"/>
          <w:szCs w:val="24"/>
        </w:rPr>
        <w:t xml:space="preserve">más tolerancia a la corrupción, a la impunidad y al desvío de recursos </w:t>
      </w:r>
      <w:r w:rsidR="00F60616">
        <w:rPr>
          <w:rFonts w:ascii="Arial" w:hAnsi="Arial" w:cs="Arial"/>
          <w:sz w:val="24"/>
          <w:szCs w:val="24"/>
        </w:rPr>
        <w:t>del pueblo por parte de funcionarios y servidores públicos</w:t>
      </w:r>
      <w:r>
        <w:rPr>
          <w:rFonts w:ascii="Arial" w:hAnsi="Arial" w:cs="Arial"/>
          <w:sz w:val="24"/>
          <w:szCs w:val="24"/>
        </w:rPr>
        <w:t>.</w:t>
      </w:r>
    </w:p>
    <w:p w14:paraId="657148BF" w14:textId="1FA32268" w:rsidR="00091FA3" w:rsidRDefault="00091FA3" w:rsidP="00A7079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ilustrar mejor la propuesta, se presenta un cuadro comparativo entre la Ley vigente y la propuesta de la iniciativa:</w:t>
      </w:r>
    </w:p>
    <w:p w14:paraId="1B482AE5" w14:textId="77777777" w:rsidR="00091FA3" w:rsidRDefault="00091FA3" w:rsidP="00A7079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432BD" w:rsidRPr="000226C5" w14:paraId="744AB719" w14:textId="77777777" w:rsidTr="00DE04BC">
        <w:tc>
          <w:tcPr>
            <w:tcW w:w="4414" w:type="dxa"/>
          </w:tcPr>
          <w:p w14:paraId="0E37D368" w14:textId="24E83D48" w:rsidR="00A432BD" w:rsidRPr="000226C5" w:rsidRDefault="00A432BD" w:rsidP="00DE04BC">
            <w:pPr>
              <w:spacing w:line="276" w:lineRule="auto"/>
              <w:jc w:val="center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0226C5">
              <w:rPr>
                <w:rFonts w:ascii="Arial" w:eastAsia="Aptos" w:hAnsi="Arial" w:cs="Arial"/>
                <w:kern w:val="2"/>
                <w14:ligatures w14:val="standardContextual"/>
              </w:rPr>
              <w:t xml:space="preserve">Ley </w:t>
            </w:r>
            <w:r>
              <w:rPr>
                <w:rFonts w:ascii="Arial" w:eastAsia="Aptos" w:hAnsi="Arial" w:cs="Arial"/>
                <w:kern w:val="2"/>
                <w14:ligatures w14:val="standardContextual"/>
              </w:rPr>
              <w:t>General de Responsabilidades Administrativas (vigente)</w:t>
            </w:r>
          </w:p>
        </w:tc>
        <w:tc>
          <w:tcPr>
            <w:tcW w:w="4414" w:type="dxa"/>
          </w:tcPr>
          <w:p w14:paraId="0EB5ECD1" w14:textId="77777777" w:rsidR="00A432BD" w:rsidRPr="000226C5" w:rsidRDefault="00A432BD" w:rsidP="00DE04BC">
            <w:pPr>
              <w:spacing w:line="276" w:lineRule="auto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0226C5">
              <w:rPr>
                <w:rFonts w:ascii="Arial" w:eastAsia="Aptos" w:hAnsi="Arial" w:cs="Arial"/>
                <w:kern w:val="2"/>
                <w14:ligatures w14:val="standardContextual"/>
              </w:rPr>
              <w:t>Propuesta de la Iniciativa</w:t>
            </w:r>
          </w:p>
        </w:tc>
      </w:tr>
      <w:tr w:rsidR="00A432BD" w:rsidRPr="000226C5" w14:paraId="57E697EB" w14:textId="77777777" w:rsidTr="00DE04BC">
        <w:tc>
          <w:tcPr>
            <w:tcW w:w="4414" w:type="dxa"/>
          </w:tcPr>
          <w:p w14:paraId="715F1FDF" w14:textId="1F9A0983" w:rsidR="00A432BD" w:rsidRPr="00D02CC6" w:rsidRDefault="00447FEA" w:rsidP="00DE04BC">
            <w:pPr>
              <w:spacing w:line="276" w:lineRule="auto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447FEA"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  <w:t xml:space="preserve">Artículo 64 Ter. </w:t>
            </w:r>
            <w:r w:rsidRPr="00447FEA">
              <w:rPr>
                <w:rFonts w:ascii="Arial" w:eastAsia="Aptos" w:hAnsi="Arial" w:cs="Arial"/>
                <w:kern w:val="2"/>
                <w14:ligatures w14:val="standardContextual"/>
              </w:rPr>
              <w:t>Es falta administrativa grave, la omisión de enterar las cuotas, aportaciones, cuotas sociales o descuentos ante el Instituto de Seguridad y Servicios Sociales de los Trabajadores del Estado, en los términos que señalan los artículos 21 y 22 de la Ley del Instituto de Seguridad y Servicios Sociales de los Trabajadores del Estado.</w:t>
            </w:r>
          </w:p>
        </w:tc>
        <w:tc>
          <w:tcPr>
            <w:tcW w:w="4414" w:type="dxa"/>
          </w:tcPr>
          <w:p w14:paraId="47A1D24C" w14:textId="77777777" w:rsidR="00A432BD" w:rsidRPr="00447FEA" w:rsidRDefault="00447FEA" w:rsidP="00DE04BC">
            <w:pPr>
              <w:spacing w:line="276" w:lineRule="auto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  <w:r w:rsidRPr="00447FEA"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  <w:t xml:space="preserve">Artículo 64 Ter. </w:t>
            </w:r>
            <w:r w:rsidRPr="00447FEA">
              <w:rPr>
                <w:rFonts w:ascii="Arial" w:eastAsia="Aptos" w:hAnsi="Arial" w:cs="Arial"/>
                <w:kern w:val="2"/>
                <w14:ligatures w14:val="standardContextual"/>
              </w:rPr>
              <w:t>Es falta administrativa grave, la omisión de enterar las cuotas, aportaciones, cuotas sociales o descuentos ante el Instituto de Seguridad y Servicios Sociales de los Trabajadores del Estado, en los términos que señalan los artículos 21 y 22 de la Ley del Instituto de Seguridad y Servicios Sociales de los Trabajadores del Estado.</w:t>
            </w:r>
          </w:p>
          <w:p w14:paraId="711A8C8C" w14:textId="77777777" w:rsidR="00447FEA" w:rsidRPr="00447FEA" w:rsidRDefault="00447FEA" w:rsidP="00DE04BC">
            <w:pPr>
              <w:spacing w:line="276" w:lineRule="auto"/>
              <w:jc w:val="both"/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</w:pPr>
          </w:p>
          <w:p w14:paraId="4D0D3C6C" w14:textId="77777777" w:rsidR="00447FEA" w:rsidRDefault="00447FEA" w:rsidP="00447FE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47FEA">
              <w:rPr>
                <w:rFonts w:ascii="Arial" w:hAnsi="Arial" w:cs="Arial"/>
                <w:b/>
              </w:rPr>
              <w:t xml:space="preserve">También se considerará falta administrativa grave, la omisión de enterar las cuotas, aportaciones, cuotas sociales o descuentos ante los Institutos de Seguridad y Servicios Sociales de los Trabajadores de los Estados, en los términos que señalen las leyes locales correspondientes. </w:t>
            </w:r>
          </w:p>
          <w:p w14:paraId="0FD3CE8F" w14:textId="77777777" w:rsidR="00F90E46" w:rsidRDefault="00F90E46" w:rsidP="00447FE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BA7F6D3" w14:textId="77777777" w:rsidR="00F90E46" w:rsidRDefault="00F90E46" w:rsidP="00447FE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5B4E34F" w14:textId="77777777" w:rsidR="00F90E46" w:rsidRDefault="00F90E46" w:rsidP="00447FE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3957642" w14:textId="4A9EA301" w:rsidR="00F90E46" w:rsidRPr="00447FEA" w:rsidRDefault="00F90E46" w:rsidP="00447FEA">
            <w:pPr>
              <w:spacing w:line="276" w:lineRule="auto"/>
              <w:jc w:val="both"/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</w:pPr>
          </w:p>
        </w:tc>
      </w:tr>
      <w:tr w:rsidR="00447FEA" w:rsidRPr="000226C5" w14:paraId="24A3035D" w14:textId="77777777" w:rsidTr="00DE04BC">
        <w:tc>
          <w:tcPr>
            <w:tcW w:w="4414" w:type="dxa"/>
          </w:tcPr>
          <w:p w14:paraId="592E82DC" w14:textId="310E6D46" w:rsidR="00447FEA" w:rsidRPr="00447FEA" w:rsidRDefault="00447FEA" w:rsidP="00DE04BC">
            <w:pPr>
              <w:spacing w:line="276" w:lineRule="auto"/>
              <w:jc w:val="both"/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</w:pPr>
            <w:r w:rsidRPr="00447FEA"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  <w:t xml:space="preserve">Artículo 80 Bis. </w:t>
            </w:r>
            <w:r w:rsidRPr="00447FEA">
              <w:rPr>
                <w:rFonts w:ascii="Arial" w:eastAsia="Aptos" w:hAnsi="Arial" w:cs="Arial"/>
                <w:kern w:val="2"/>
                <w14:ligatures w14:val="standardContextual"/>
              </w:rPr>
              <w:t xml:space="preserve">Si el beneficio indebidamente obtenido u otorgado a que hacen referencia los artículos 52, segundo párrafo, y 54, segundo párrafo, de esta Ley, no excede el equivalente a cinco mil veces </w:t>
            </w:r>
            <w:r w:rsidRPr="00447FEA">
              <w:rPr>
                <w:rFonts w:ascii="Arial" w:eastAsia="Aptos" w:hAnsi="Arial" w:cs="Arial"/>
                <w:kern w:val="2"/>
                <w14:ligatures w14:val="standardContextual"/>
              </w:rPr>
              <w:lastRenderedPageBreak/>
              <w:t>el valor diario de la Unidad de Medida y Actualización, y además se ha devuelto la cantidad entregada o depositada en demasía conforme al tabulador aplicable, la falta administrativa será considerada no grave.</w:t>
            </w:r>
          </w:p>
        </w:tc>
        <w:tc>
          <w:tcPr>
            <w:tcW w:w="4414" w:type="dxa"/>
          </w:tcPr>
          <w:p w14:paraId="43E23A3A" w14:textId="77777777" w:rsidR="00447FEA" w:rsidRPr="00447FEA" w:rsidRDefault="00447FEA" w:rsidP="00447FEA">
            <w:pPr>
              <w:spacing w:line="276" w:lineRule="auto"/>
              <w:rPr>
                <w:rFonts w:ascii="Arial" w:hAnsi="Arial" w:cs="Arial"/>
                <w:b/>
              </w:rPr>
            </w:pPr>
            <w:r w:rsidRPr="00447FEA">
              <w:rPr>
                <w:rFonts w:ascii="Arial" w:hAnsi="Arial" w:cs="Arial"/>
                <w:b/>
              </w:rPr>
              <w:lastRenderedPageBreak/>
              <w:t>Artículo 80 Bis. Se deroga.</w:t>
            </w:r>
          </w:p>
          <w:p w14:paraId="685F21DD" w14:textId="77777777" w:rsidR="00447FEA" w:rsidRPr="00447FEA" w:rsidRDefault="00447FEA" w:rsidP="00DE04BC">
            <w:pPr>
              <w:spacing w:line="276" w:lineRule="auto"/>
              <w:jc w:val="both"/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</w:pPr>
          </w:p>
        </w:tc>
      </w:tr>
    </w:tbl>
    <w:p w14:paraId="64269DCC" w14:textId="77777777" w:rsidR="00370C83" w:rsidRDefault="00370C83" w:rsidP="00370C8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5C913B" w14:textId="5C268A4B" w:rsidR="002B42FA" w:rsidRDefault="002B42FA" w:rsidP="00370C83">
      <w:pPr>
        <w:spacing w:line="276" w:lineRule="auto"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Por todo lo anterior, </w:t>
      </w:r>
      <w:r w:rsidR="00BB29C1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la Fracción Legislativa de Movimiento Ciudadano solicita a</w:t>
      </w: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este Congreso </w:t>
      </w:r>
      <w:r w:rsidR="00BB29C1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aprobar </w:t>
      </w:r>
      <w:r w:rsidR="00C2645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la presente iniciativa con el objeto de </w:t>
      </w: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suscribir</w:t>
      </w:r>
      <w:r w:rsidR="00C2645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la,</w:t>
      </w: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</w:t>
      </w:r>
      <w:r w:rsidR="00BB29C1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y pueda ser presentada a la Cámara de Diputados Federal.</w:t>
      </w: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4E4725A8" w14:textId="77777777" w:rsidR="00C26452" w:rsidRDefault="00C26452" w:rsidP="00370C83">
      <w:pPr>
        <w:spacing w:line="276" w:lineRule="auto"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74A9509A" w14:textId="77777777" w:rsidR="007D0E6A" w:rsidRDefault="007D0E6A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E4BD8E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4280FD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AF2486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ED2C38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3BE38E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02D66A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A94995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EC2998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97EAA1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D4AFD9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A3D238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BAAF7A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67B2B1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8BD7B8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630FEC" w14:textId="77777777" w:rsidR="00C413E4" w:rsidRDefault="00C413E4" w:rsidP="008143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C658B4" w14:textId="32A372D6" w:rsidR="00370C83" w:rsidRPr="004D5D6B" w:rsidRDefault="00EE5DD8" w:rsidP="001B44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C0A6C">
        <w:rPr>
          <w:rFonts w:ascii="Arial" w:hAnsi="Arial" w:cs="Arial"/>
          <w:b/>
          <w:sz w:val="24"/>
          <w:szCs w:val="24"/>
        </w:rPr>
        <w:t>INICIATIVA CON PROYECTO DE</w:t>
      </w:r>
      <w:r w:rsidR="009C0A6C" w:rsidRPr="009C0A6C">
        <w:rPr>
          <w:rFonts w:ascii="Arial" w:hAnsi="Arial" w:cs="Arial"/>
          <w:b/>
          <w:sz w:val="24"/>
          <w:szCs w:val="24"/>
        </w:rPr>
        <w:t xml:space="preserve"> </w:t>
      </w:r>
      <w:r w:rsidR="00E51C38">
        <w:rPr>
          <w:rFonts w:ascii="Arial" w:hAnsi="Arial" w:cs="Arial"/>
          <w:b/>
          <w:bCs/>
          <w:sz w:val="24"/>
          <w:szCs w:val="24"/>
        </w:rPr>
        <w:t>DECRETO</w:t>
      </w:r>
      <w:r w:rsidR="00E51C38" w:rsidRPr="00337F6B">
        <w:rPr>
          <w:rFonts w:ascii="Arial" w:hAnsi="Arial" w:cs="Arial"/>
          <w:b/>
          <w:bCs/>
          <w:sz w:val="24"/>
          <w:szCs w:val="24"/>
        </w:rPr>
        <w:t xml:space="preserve"> POR </w:t>
      </w:r>
      <w:r w:rsidR="00E51C38">
        <w:rPr>
          <w:rFonts w:ascii="Arial" w:hAnsi="Arial" w:cs="Arial"/>
          <w:b/>
          <w:bCs/>
          <w:sz w:val="24"/>
          <w:szCs w:val="24"/>
        </w:rPr>
        <w:t>EL QUE SE REFORMA LA LEY GENERAL DE RESPONSABILIDADES ADMINISTRATIVAS, EN MATERIA DE FALTAS GRAVES POR NO ENTERAR CUOTAS, APORTACIONES, O DESCUENTOS A LOS INSTITUTOS DE SEGURIDAD DE SERVICIOS SOCIALES DE LOS TRABAJADORES DE LOS ESTADOS</w:t>
      </w:r>
      <w:r w:rsidR="00370C83">
        <w:rPr>
          <w:rFonts w:ascii="Arial" w:hAnsi="Arial" w:cs="Arial"/>
          <w:sz w:val="24"/>
          <w:szCs w:val="24"/>
        </w:rPr>
        <w:t>.</w:t>
      </w:r>
    </w:p>
    <w:p w14:paraId="2D1048AA" w14:textId="77777777" w:rsidR="00613882" w:rsidRPr="00095E74" w:rsidRDefault="00613882" w:rsidP="00814313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26B2401" w14:textId="2B532A0A" w:rsidR="009E0C70" w:rsidRDefault="004A34F0" w:rsidP="0081431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279A">
        <w:rPr>
          <w:rFonts w:ascii="Arial" w:hAnsi="Arial" w:cs="Arial"/>
          <w:b/>
          <w:sz w:val="24"/>
          <w:szCs w:val="24"/>
        </w:rPr>
        <w:t>A</w:t>
      </w:r>
      <w:r w:rsidR="00C26452">
        <w:rPr>
          <w:rFonts w:ascii="Arial" w:hAnsi="Arial" w:cs="Arial"/>
          <w:b/>
          <w:sz w:val="24"/>
          <w:szCs w:val="24"/>
        </w:rPr>
        <w:t>rtículo único</w:t>
      </w:r>
      <w:r w:rsidR="009E0C70" w:rsidRPr="0074279A">
        <w:rPr>
          <w:rFonts w:ascii="Arial" w:hAnsi="Arial" w:cs="Arial"/>
          <w:b/>
          <w:sz w:val="24"/>
          <w:szCs w:val="24"/>
        </w:rPr>
        <w:t>. -</w:t>
      </w:r>
      <w:r w:rsidR="00613882">
        <w:rPr>
          <w:rFonts w:ascii="Arial" w:hAnsi="Arial" w:cs="Arial"/>
          <w:sz w:val="24"/>
          <w:szCs w:val="24"/>
        </w:rPr>
        <w:t xml:space="preserve"> S</w:t>
      </w:r>
      <w:r w:rsidR="00613882" w:rsidRPr="00095E74">
        <w:rPr>
          <w:rFonts w:ascii="Arial" w:hAnsi="Arial" w:cs="Arial"/>
          <w:sz w:val="24"/>
          <w:szCs w:val="24"/>
        </w:rPr>
        <w:t xml:space="preserve">e </w:t>
      </w:r>
      <w:r w:rsidR="00595EC1">
        <w:rPr>
          <w:rFonts w:ascii="Arial" w:hAnsi="Arial" w:cs="Arial"/>
          <w:sz w:val="24"/>
          <w:szCs w:val="24"/>
        </w:rPr>
        <w:t xml:space="preserve">adiciona </w:t>
      </w:r>
      <w:r w:rsidR="00476FEF">
        <w:rPr>
          <w:rFonts w:ascii="Arial" w:hAnsi="Arial" w:cs="Arial"/>
          <w:sz w:val="24"/>
          <w:szCs w:val="24"/>
        </w:rPr>
        <w:t>un segundo párrafo a</w:t>
      </w:r>
      <w:r w:rsidR="00595EC1">
        <w:rPr>
          <w:rFonts w:ascii="Arial" w:hAnsi="Arial" w:cs="Arial"/>
          <w:sz w:val="24"/>
          <w:szCs w:val="24"/>
        </w:rPr>
        <w:t xml:space="preserve">l artículo </w:t>
      </w:r>
      <w:r w:rsidR="00476FEF">
        <w:rPr>
          <w:rFonts w:ascii="Arial" w:hAnsi="Arial" w:cs="Arial"/>
          <w:sz w:val="24"/>
          <w:szCs w:val="24"/>
        </w:rPr>
        <w:t>64 Ter</w:t>
      </w:r>
      <w:r w:rsidR="00595EC1">
        <w:rPr>
          <w:rFonts w:ascii="Arial" w:hAnsi="Arial" w:cs="Arial"/>
          <w:sz w:val="24"/>
          <w:szCs w:val="24"/>
        </w:rPr>
        <w:t xml:space="preserve">, </w:t>
      </w:r>
      <w:r w:rsidR="004D5D6B">
        <w:rPr>
          <w:rFonts w:ascii="Arial" w:hAnsi="Arial" w:cs="Arial"/>
          <w:sz w:val="24"/>
          <w:szCs w:val="24"/>
        </w:rPr>
        <w:t xml:space="preserve">y se deroga el artículo 80 Bis </w:t>
      </w:r>
      <w:r w:rsidR="009E0C70">
        <w:rPr>
          <w:rFonts w:ascii="Arial" w:hAnsi="Arial" w:cs="Arial"/>
          <w:sz w:val="24"/>
          <w:szCs w:val="24"/>
        </w:rPr>
        <w:t xml:space="preserve">de la Ley </w:t>
      </w:r>
      <w:r w:rsidR="007307ED">
        <w:rPr>
          <w:rFonts w:ascii="Arial" w:hAnsi="Arial" w:cs="Arial"/>
          <w:sz w:val="24"/>
          <w:szCs w:val="24"/>
        </w:rPr>
        <w:t>General de Responsabilidades Administrativas</w:t>
      </w:r>
      <w:r w:rsidR="00B33A47">
        <w:rPr>
          <w:rFonts w:ascii="Arial" w:hAnsi="Arial" w:cs="Arial"/>
          <w:sz w:val="24"/>
          <w:szCs w:val="24"/>
        </w:rPr>
        <w:t>, para quedar como</w:t>
      </w:r>
      <w:r w:rsidR="007713AF">
        <w:rPr>
          <w:rFonts w:ascii="Arial" w:hAnsi="Arial" w:cs="Arial"/>
          <w:sz w:val="24"/>
          <w:szCs w:val="24"/>
        </w:rPr>
        <w:t xml:space="preserve"> </w:t>
      </w:r>
      <w:r w:rsidR="00B33A47">
        <w:rPr>
          <w:rFonts w:ascii="Arial" w:hAnsi="Arial" w:cs="Arial"/>
          <w:sz w:val="24"/>
          <w:szCs w:val="24"/>
        </w:rPr>
        <w:t>sigue:</w:t>
      </w:r>
    </w:p>
    <w:p w14:paraId="71846484" w14:textId="77777777" w:rsidR="007713AF" w:rsidRDefault="007713AF" w:rsidP="0081431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4EF411E" w14:textId="4BA8518A" w:rsidR="009E0C70" w:rsidRDefault="007307ED" w:rsidP="00814313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307ED">
        <w:rPr>
          <w:rFonts w:ascii="Arial" w:hAnsi="Arial" w:cs="Arial"/>
          <w:b/>
          <w:sz w:val="24"/>
          <w:szCs w:val="24"/>
        </w:rPr>
        <w:t xml:space="preserve">Artículo 64 Ter. </w:t>
      </w:r>
      <w:r w:rsidR="00C413E4">
        <w:rPr>
          <w:rFonts w:ascii="Arial" w:hAnsi="Arial" w:cs="Arial"/>
          <w:bCs/>
          <w:sz w:val="24"/>
          <w:szCs w:val="24"/>
        </w:rPr>
        <w:t>…</w:t>
      </w:r>
    </w:p>
    <w:p w14:paraId="0C13B27A" w14:textId="77777777" w:rsidR="00C413E4" w:rsidRDefault="00C413E4" w:rsidP="00814313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3F40EAC" w14:textId="362DCE6E" w:rsidR="007307ED" w:rsidRPr="003555D7" w:rsidRDefault="007307ED" w:rsidP="00814313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555D7">
        <w:rPr>
          <w:rFonts w:ascii="Arial" w:hAnsi="Arial" w:cs="Arial"/>
          <w:b/>
          <w:sz w:val="24"/>
          <w:szCs w:val="24"/>
        </w:rPr>
        <w:t xml:space="preserve">También se considerará </w:t>
      </w:r>
      <w:bookmarkStart w:id="1" w:name="_Hlk200451473"/>
      <w:r w:rsidRPr="003555D7">
        <w:rPr>
          <w:rFonts w:ascii="Arial" w:hAnsi="Arial" w:cs="Arial"/>
          <w:b/>
          <w:sz w:val="24"/>
          <w:szCs w:val="24"/>
        </w:rPr>
        <w:t xml:space="preserve">falta administrativa grave, la omisión de enterar las cuotas, aportaciones, cuotas sociales o descuentos ante los Institutos de Seguridad y Servicios Sociales de los Trabajadores de los Estados, en los términos que señalen </w:t>
      </w:r>
      <w:r w:rsidR="003555D7" w:rsidRPr="003555D7">
        <w:rPr>
          <w:rFonts w:ascii="Arial" w:hAnsi="Arial" w:cs="Arial"/>
          <w:b/>
          <w:sz w:val="24"/>
          <w:szCs w:val="24"/>
        </w:rPr>
        <w:t>las leyes locales correspondientes</w:t>
      </w:r>
      <w:bookmarkEnd w:id="1"/>
      <w:r w:rsidR="003555D7" w:rsidRPr="003555D7">
        <w:rPr>
          <w:rFonts w:ascii="Arial" w:hAnsi="Arial" w:cs="Arial"/>
          <w:b/>
          <w:sz w:val="24"/>
          <w:szCs w:val="24"/>
        </w:rPr>
        <w:t>.</w:t>
      </w:r>
      <w:r w:rsidRPr="003555D7">
        <w:rPr>
          <w:rFonts w:ascii="Arial" w:hAnsi="Arial" w:cs="Arial"/>
          <w:b/>
          <w:sz w:val="24"/>
          <w:szCs w:val="24"/>
        </w:rPr>
        <w:t xml:space="preserve"> </w:t>
      </w:r>
    </w:p>
    <w:p w14:paraId="4A9AE882" w14:textId="77777777" w:rsidR="007713AF" w:rsidRDefault="007713AF" w:rsidP="004D5D6B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3FDCF0D2" w14:textId="7F110287" w:rsidR="007307ED" w:rsidRDefault="004D5D6B" w:rsidP="004D5D6B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4D5D6B">
        <w:rPr>
          <w:rFonts w:ascii="Arial" w:hAnsi="Arial" w:cs="Arial"/>
          <w:b/>
          <w:sz w:val="24"/>
          <w:szCs w:val="24"/>
        </w:rPr>
        <w:t>Artículo 80 Bis.</w:t>
      </w:r>
      <w:r>
        <w:rPr>
          <w:rFonts w:ascii="Arial" w:hAnsi="Arial" w:cs="Arial"/>
          <w:b/>
          <w:sz w:val="24"/>
          <w:szCs w:val="24"/>
        </w:rPr>
        <w:t xml:space="preserve"> Se deroga.</w:t>
      </w:r>
    </w:p>
    <w:p w14:paraId="65ADBAA5" w14:textId="308087FE" w:rsidR="00613882" w:rsidRPr="0025283D" w:rsidRDefault="00613882" w:rsidP="00814313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5283D">
        <w:rPr>
          <w:rFonts w:ascii="Arial" w:hAnsi="Arial" w:cs="Arial"/>
          <w:b/>
          <w:sz w:val="24"/>
          <w:szCs w:val="24"/>
        </w:rPr>
        <w:t>Transitorio:</w:t>
      </w:r>
    </w:p>
    <w:p w14:paraId="54DE3404" w14:textId="77777777" w:rsidR="00613882" w:rsidRDefault="00613882" w:rsidP="0081431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7E62C1" w14:textId="6A2BDF28" w:rsidR="00613882" w:rsidRPr="00565153" w:rsidRDefault="00613882" w:rsidP="0081431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5153">
        <w:rPr>
          <w:rFonts w:ascii="Arial" w:hAnsi="Arial" w:cs="Arial"/>
          <w:b/>
          <w:sz w:val="24"/>
          <w:szCs w:val="24"/>
        </w:rPr>
        <w:t xml:space="preserve"> Artículo </w:t>
      </w:r>
      <w:r w:rsidR="00C26452">
        <w:rPr>
          <w:rFonts w:ascii="Arial" w:hAnsi="Arial" w:cs="Arial"/>
          <w:b/>
          <w:sz w:val="24"/>
          <w:szCs w:val="24"/>
        </w:rPr>
        <w:t>único</w:t>
      </w:r>
      <w:r w:rsidR="00B33A47" w:rsidRPr="00565153">
        <w:rPr>
          <w:rFonts w:ascii="Arial" w:hAnsi="Arial" w:cs="Arial"/>
          <w:b/>
          <w:sz w:val="24"/>
          <w:szCs w:val="24"/>
        </w:rPr>
        <w:t>. -</w:t>
      </w:r>
      <w:r w:rsidRPr="00565153">
        <w:rPr>
          <w:rFonts w:ascii="Arial" w:hAnsi="Arial" w:cs="Arial"/>
          <w:b/>
          <w:sz w:val="24"/>
          <w:szCs w:val="24"/>
        </w:rPr>
        <w:t xml:space="preserve"> </w:t>
      </w:r>
      <w:r w:rsidRPr="00565153">
        <w:rPr>
          <w:rFonts w:ascii="Arial" w:hAnsi="Arial" w:cs="Arial"/>
          <w:sz w:val="24"/>
          <w:szCs w:val="24"/>
        </w:rPr>
        <w:t>El presente Decreto entrará en vigor al día siguiente de su publicación en el Diario Oficial de</w:t>
      </w:r>
      <w:r w:rsidR="00932885">
        <w:rPr>
          <w:rFonts w:ascii="Arial" w:hAnsi="Arial" w:cs="Arial"/>
          <w:sz w:val="24"/>
          <w:szCs w:val="24"/>
        </w:rPr>
        <w:t xml:space="preserve"> </w:t>
      </w:r>
      <w:r w:rsidRPr="00565153">
        <w:rPr>
          <w:rFonts w:ascii="Arial" w:hAnsi="Arial" w:cs="Arial"/>
          <w:sz w:val="24"/>
          <w:szCs w:val="24"/>
        </w:rPr>
        <w:t>l</w:t>
      </w:r>
      <w:r w:rsidR="00932885">
        <w:rPr>
          <w:rFonts w:ascii="Arial" w:hAnsi="Arial" w:cs="Arial"/>
          <w:sz w:val="24"/>
          <w:szCs w:val="24"/>
        </w:rPr>
        <w:t>a Federación</w:t>
      </w:r>
      <w:r w:rsidRPr="00565153">
        <w:rPr>
          <w:rFonts w:ascii="Arial" w:hAnsi="Arial" w:cs="Arial"/>
          <w:sz w:val="24"/>
          <w:szCs w:val="24"/>
        </w:rPr>
        <w:t>.</w:t>
      </w:r>
    </w:p>
    <w:p w14:paraId="6A9F7621" w14:textId="77777777" w:rsidR="00613882" w:rsidRPr="00565153" w:rsidRDefault="00613882" w:rsidP="00814313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B9ECE3C" w14:textId="36E7B867" w:rsidR="00337F6B" w:rsidRPr="00EF3155" w:rsidRDefault="00337F6B" w:rsidP="00814313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F3155">
        <w:rPr>
          <w:rFonts w:ascii="Arial" w:hAnsi="Arial" w:cs="Arial"/>
          <w:sz w:val="24"/>
          <w:szCs w:val="24"/>
        </w:rPr>
        <w:t>Dado en la sede del Recinto del Poder Legislativo</w:t>
      </w:r>
      <w:r w:rsidR="00932885">
        <w:rPr>
          <w:rFonts w:ascii="Arial" w:hAnsi="Arial" w:cs="Arial"/>
          <w:sz w:val="24"/>
          <w:szCs w:val="24"/>
        </w:rPr>
        <w:t xml:space="preserve"> del Estado de Yucatán</w:t>
      </w:r>
      <w:r w:rsidRPr="00EF3155">
        <w:rPr>
          <w:rFonts w:ascii="Arial" w:hAnsi="Arial" w:cs="Arial"/>
          <w:sz w:val="24"/>
          <w:szCs w:val="24"/>
        </w:rPr>
        <w:t xml:space="preserve">, en la ciudad de Mérida, Yucatán, </w:t>
      </w:r>
      <w:r w:rsidR="00F90E46">
        <w:rPr>
          <w:rFonts w:ascii="Arial" w:hAnsi="Arial" w:cs="Arial"/>
          <w:sz w:val="24"/>
          <w:szCs w:val="24"/>
        </w:rPr>
        <w:t>Estados Unidos Mexicanos, a los dieciocho</w:t>
      </w:r>
      <w:r w:rsidRPr="00EF3155">
        <w:rPr>
          <w:rFonts w:ascii="Arial" w:hAnsi="Arial" w:cs="Arial"/>
          <w:sz w:val="24"/>
          <w:szCs w:val="24"/>
        </w:rPr>
        <w:t xml:space="preserve"> días del mes de</w:t>
      </w:r>
      <w:r w:rsidR="00932885">
        <w:rPr>
          <w:rFonts w:ascii="Arial" w:hAnsi="Arial" w:cs="Arial"/>
          <w:sz w:val="24"/>
          <w:szCs w:val="24"/>
        </w:rPr>
        <w:t xml:space="preserve"> </w:t>
      </w:r>
      <w:r w:rsidR="00F90E46">
        <w:rPr>
          <w:rFonts w:ascii="Arial" w:hAnsi="Arial" w:cs="Arial"/>
          <w:sz w:val="24"/>
          <w:szCs w:val="24"/>
        </w:rPr>
        <w:t xml:space="preserve">septiembre </w:t>
      </w:r>
      <w:r w:rsidRPr="00EF3155">
        <w:rPr>
          <w:rFonts w:ascii="Arial" w:hAnsi="Arial" w:cs="Arial"/>
          <w:sz w:val="24"/>
          <w:szCs w:val="24"/>
        </w:rPr>
        <w:t>de 202</w:t>
      </w:r>
      <w:r w:rsidR="00901DDC" w:rsidRPr="00EF3155">
        <w:rPr>
          <w:rFonts w:ascii="Arial" w:hAnsi="Arial" w:cs="Arial"/>
          <w:sz w:val="24"/>
          <w:szCs w:val="24"/>
        </w:rPr>
        <w:t>5</w:t>
      </w:r>
      <w:r w:rsidRPr="00EF3155">
        <w:rPr>
          <w:rFonts w:ascii="Arial" w:hAnsi="Arial" w:cs="Arial"/>
          <w:sz w:val="24"/>
          <w:szCs w:val="24"/>
        </w:rPr>
        <w:t>.</w:t>
      </w:r>
    </w:p>
    <w:p w14:paraId="065AA9AB" w14:textId="77777777" w:rsidR="00337F6B" w:rsidRPr="00EF3155" w:rsidRDefault="00337F6B" w:rsidP="008143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9BC9F0" w14:textId="77777777" w:rsidR="00337F6B" w:rsidRPr="00EF3155" w:rsidRDefault="00337F6B" w:rsidP="00814313">
      <w:pPr>
        <w:spacing w:line="276" w:lineRule="auto"/>
        <w:jc w:val="both"/>
        <w:rPr>
          <w:rFonts w:ascii="Arial" w:hAnsi="Arial" w:cs="Arial"/>
          <w:sz w:val="28"/>
          <w:szCs w:val="24"/>
        </w:rPr>
      </w:pPr>
    </w:p>
    <w:p w14:paraId="35265047" w14:textId="675D351A" w:rsidR="002F0903" w:rsidRPr="00EF3155" w:rsidRDefault="002F0903" w:rsidP="00814313">
      <w:pPr>
        <w:spacing w:line="276" w:lineRule="auto"/>
        <w:rPr>
          <w:rFonts w:ascii="Arial" w:hAnsi="Arial" w:cs="Arial"/>
          <w:sz w:val="28"/>
          <w:szCs w:val="24"/>
        </w:rPr>
      </w:pPr>
      <w:bookmarkStart w:id="2" w:name="_GoBack"/>
      <w:bookmarkEnd w:id="2"/>
    </w:p>
    <w:p w14:paraId="70245EB2" w14:textId="280A75CD" w:rsidR="00337F6B" w:rsidRPr="00EF3155" w:rsidRDefault="00337F6B" w:rsidP="00B9555D">
      <w:pPr>
        <w:spacing w:line="276" w:lineRule="auto"/>
        <w:jc w:val="both"/>
        <w:rPr>
          <w:rFonts w:ascii="Arial" w:hAnsi="Arial" w:cs="Arial"/>
          <w:sz w:val="28"/>
          <w:szCs w:val="24"/>
        </w:rPr>
      </w:pPr>
      <w:r w:rsidRPr="00EF315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F3155">
        <w:rPr>
          <w:rFonts w:ascii="Arial" w:hAnsi="Arial" w:cs="Arial"/>
          <w:sz w:val="24"/>
          <w:szCs w:val="24"/>
        </w:rPr>
        <w:t>Dip</w:t>
      </w:r>
      <w:proofErr w:type="spellEnd"/>
      <w:r w:rsidRPr="00EF3155">
        <w:rPr>
          <w:rFonts w:ascii="Arial" w:hAnsi="Arial" w:cs="Arial"/>
          <w:sz w:val="24"/>
          <w:szCs w:val="24"/>
        </w:rPr>
        <w:t xml:space="preserve">. Larissa Acosta Escalante                               </w:t>
      </w:r>
      <w:proofErr w:type="spellStart"/>
      <w:r w:rsidRPr="00EF3155">
        <w:rPr>
          <w:rFonts w:ascii="Arial" w:hAnsi="Arial" w:cs="Arial"/>
          <w:sz w:val="24"/>
          <w:szCs w:val="24"/>
        </w:rPr>
        <w:t>Dip</w:t>
      </w:r>
      <w:proofErr w:type="spellEnd"/>
      <w:r w:rsidRPr="00EF3155">
        <w:rPr>
          <w:rFonts w:ascii="Arial" w:hAnsi="Arial" w:cs="Arial"/>
          <w:sz w:val="24"/>
          <w:szCs w:val="24"/>
        </w:rPr>
        <w:t xml:space="preserve">. Javier Renán </w:t>
      </w:r>
      <w:proofErr w:type="spellStart"/>
      <w:r w:rsidRPr="00EF3155">
        <w:rPr>
          <w:rFonts w:ascii="Arial" w:hAnsi="Arial" w:cs="Arial"/>
          <w:sz w:val="24"/>
          <w:szCs w:val="24"/>
        </w:rPr>
        <w:t>Osante</w:t>
      </w:r>
      <w:proofErr w:type="spellEnd"/>
      <w:r w:rsidRPr="00EF3155">
        <w:rPr>
          <w:rFonts w:ascii="Arial" w:hAnsi="Arial" w:cs="Arial"/>
          <w:sz w:val="24"/>
          <w:szCs w:val="24"/>
        </w:rPr>
        <w:t xml:space="preserve"> Solís</w:t>
      </w:r>
    </w:p>
    <w:sectPr w:rsidR="00337F6B" w:rsidRPr="00EF315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41248" w14:textId="77777777" w:rsidR="008019B2" w:rsidRDefault="008019B2" w:rsidP="00DD4547">
      <w:pPr>
        <w:spacing w:after="0" w:line="240" w:lineRule="auto"/>
      </w:pPr>
      <w:r>
        <w:separator/>
      </w:r>
    </w:p>
  </w:endnote>
  <w:endnote w:type="continuationSeparator" w:id="0">
    <w:p w14:paraId="1EAF1CF8" w14:textId="77777777" w:rsidR="008019B2" w:rsidRDefault="008019B2" w:rsidP="00DD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C03D2" w14:textId="66F7BD0D" w:rsidR="00337F6B" w:rsidRDefault="00337F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91C7CFB" wp14:editId="6EF48345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1343718" cy="777236"/>
          <wp:effectExtent l="0" t="0" r="0" b="4445"/>
          <wp:wrapNone/>
          <wp:docPr id="2" name="Imagen 2" descr="Movimiento Ciudadano | Seguimos en Movimiento - Movimiento-Ciudad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ovimiento Ciudadano | Seguimos en Movimiento - Movimiento-Ciudad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718" cy="777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1996A" w14:textId="77777777" w:rsidR="008019B2" w:rsidRDefault="008019B2" w:rsidP="00DD4547">
      <w:pPr>
        <w:spacing w:after="0" w:line="240" w:lineRule="auto"/>
      </w:pPr>
      <w:r>
        <w:separator/>
      </w:r>
    </w:p>
  </w:footnote>
  <w:footnote w:type="continuationSeparator" w:id="0">
    <w:p w14:paraId="349EDB87" w14:textId="77777777" w:rsidR="008019B2" w:rsidRDefault="008019B2" w:rsidP="00DD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46D8E" w14:textId="1D49526B" w:rsidR="00DD4547" w:rsidRDefault="00DD454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EB9363" wp14:editId="061A7FCA">
          <wp:simplePos x="0" y="0"/>
          <wp:positionH relativeFrom="margin">
            <wp:align>left</wp:align>
          </wp:positionH>
          <wp:positionV relativeFrom="paragraph">
            <wp:posOffset>-497205</wp:posOffset>
          </wp:positionV>
          <wp:extent cx="1398270" cy="942812"/>
          <wp:effectExtent l="0" t="0" r="0" b="0"/>
          <wp:wrapNone/>
          <wp:docPr id="3" name="Imagen 3" descr="Movimiento Ciudadano | Seguimos en Movimiento - Movimiento-Ciudad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ovimiento Ciudadano | Seguimos en Movimiento - Movimiento-Ciudad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942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6D"/>
    <w:rsid w:val="00001BBF"/>
    <w:rsid w:val="00001D81"/>
    <w:rsid w:val="00005C15"/>
    <w:rsid w:val="000112A9"/>
    <w:rsid w:val="000200C7"/>
    <w:rsid w:val="00020A8E"/>
    <w:rsid w:val="00035726"/>
    <w:rsid w:val="000408FD"/>
    <w:rsid w:val="00065C2B"/>
    <w:rsid w:val="000661FB"/>
    <w:rsid w:val="0006683A"/>
    <w:rsid w:val="00085213"/>
    <w:rsid w:val="00091FA3"/>
    <w:rsid w:val="0009439D"/>
    <w:rsid w:val="000B37FF"/>
    <w:rsid w:val="000B61A6"/>
    <w:rsid w:val="000B6DE7"/>
    <w:rsid w:val="000C1E12"/>
    <w:rsid w:val="000D0A20"/>
    <w:rsid w:val="000D4B14"/>
    <w:rsid w:val="000D61C5"/>
    <w:rsid w:val="000E3197"/>
    <w:rsid w:val="000E45EE"/>
    <w:rsid w:val="000E4C3D"/>
    <w:rsid w:val="001049C1"/>
    <w:rsid w:val="00105D16"/>
    <w:rsid w:val="00106563"/>
    <w:rsid w:val="00154D4E"/>
    <w:rsid w:val="0016334C"/>
    <w:rsid w:val="0017017A"/>
    <w:rsid w:val="0018000D"/>
    <w:rsid w:val="001816DD"/>
    <w:rsid w:val="001926EA"/>
    <w:rsid w:val="001B4427"/>
    <w:rsid w:val="001C34CD"/>
    <w:rsid w:val="0020438C"/>
    <w:rsid w:val="002055D6"/>
    <w:rsid w:val="00206B8D"/>
    <w:rsid w:val="00210451"/>
    <w:rsid w:val="00210875"/>
    <w:rsid w:val="002125FA"/>
    <w:rsid w:val="00221898"/>
    <w:rsid w:val="0024323F"/>
    <w:rsid w:val="0025363C"/>
    <w:rsid w:val="00261E81"/>
    <w:rsid w:val="0026698A"/>
    <w:rsid w:val="00267F39"/>
    <w:rsid w:val="00292349"/>
    <w:rsid w:val="002B42FA"/>
    <w:rsid w:val="002B4CAB"/>
    <w:rsid w:val="002C08A4"/>
    <w:rsid w:val="002C1F10"/>
    <w:rsid w:val="002C369A"/>
    <w:rsid w:val="002C7AE9"/>
    <w:rsid w:val="002E0F14"/>
    <w:rsid w:val="002F0903"/>
    <w:rsid w:val="00310D5F"/>
    <w:rsid w:val="00316A24"/>
    <w:rsid w:val="00322A42"/>
    <w:rsid w:val="003237F5"/>
    <w:rsid w:val="00337F6B"/>
    <w:rsid w:val="00342A4B"/>
    <w:rsid w:val="003555D7"/>
    <w:rsid w:val="00356167"/>
    <w:rsid w:val="00370C83"/>
    <w:rsid w:val="0037675E"/>
    <w:rsid w:val="00384521"/>
    <w:rsid w:val="003E0C0C"/>
    <w:rsid w:val="003E7775"/>
    <w:rsid w:val="003F3954"/>
    <w:rsid w:val="00405B01"/>
    <w:rsid w:val="0040704A"/>
    <w:rsid w:val="0041565E"/>
    <w:rsid w:val="00417D82"/>
    <w:rsid w:val="0043050E"/>
    <w:rsid w:val="004341A1"/>
    <w:rsid w:val="00446260"/>
    <w:rsid w:val="00447FEA"/>
    <w:rsid w:val="00452105"/>
    <w:rsid w:val="00457859"/>
    <w:rsid w:val="00460FE9"/>
    <w:rsid w:val="00476FEF"/>
    <w:rsid w:val="004A34F0"/>
    <w:rsid w:val="004B6E6B"/>
    <w:rsid w:val="004D1E23"/>
    <w:rsid w:val="004D4754"/>
    <w:rsid w:val="004D5D6B"/>
    <w:rsid w:val="004F4106"/>
    <w:rsid w:val="004F4FA2"/>
    <w:rsid w:val="005008B6"/>
    <w:rsid w:val="00501E53"/>
    <w:rsid w:val="00511A2C"/>
    <w:rsid w:val="0052426E"/>
    <w:rsid w:val="005279BE"/>
    <w:rsid w:val="00540070"/>
    <w:rsid w:val="00541A5D"/>
    <w:rsid w:val="005455D0"/>
    <w:rsid w:val="00573A71"/>
    <w:rsid w:val="00593F77"/>
    <w:rsid w:val="005944C2"/>
    <w:rsid w:val="00595EC1"/>
    <w:rsid w:val="005B161E"/>
    <w:rsid w:val="005D59C5"/>
    <w:rsid w:val="005E06B9"/>
    <w:rsid w:val="005E15FB"/>
    <w:rsid w:val="005E210E"/>
    <w:rsid w:val="005F1E94"/>
    <w:rsid w:val="00613882"/>
    <w:rsid w:val="00623A56"/>
    <w:rsid w:val="0063388D"/>
    <w:rsid w:val="0065227F"/>
    <w:rsid w:val="006579E8"/>
    <w:rsid w:val="00690846"/>
    <w:rsid w:val="006910A2"/>
    <w:rsid w:val="0069469A"/>
    <w:rsid w:val="006B60AC"/>
    <w:rsid w:val="006D2CD8"/>
    <w:rsid w:val="006D3989"/>
    <w:rsid w:val="006D42B5"/>
    <w:rsid w:val="00701EC5"/>
    <w:rsid w:val="00701ECB"/>
    <w:rsid w:val="007307ED"/>
    <w:rsid w:val="00745E6A"/>
    <w:rsid w:val="00760362"/>
    <w:rsid w:val="00763AB7"/>
    <w:rsid w:val="007713AF"/>
    <w:rsid w:val="00780019"/>
    <w:rsid w:val="00795F4C"/>
    <w:rsid w:val="007A112B"/>
    <w:rsid w:val="007B45CB"/>
    <w:rsid w:val="007D0E6A"/>
    <w:rsid w:val="007E2DB5"/>
    <w:rsid w:val="007F6AB6"/>
    <w:rsid w:val="008019B2"/>
    <w:rsid w:val="00814313"/>
    <w:rsid w:val="008152B6"/>
    <w:rsid w:val="00823A49"/>
    <w:rsid w:val="00835D36"/>
    <w:rsid w:val="00842C38"/>
    <w:rsid w:val="00843825"/>
    <w:rsid w:val="0085140F"/>
    <w:rsid w:val="0086430F"/>
    <w:rsid w:val="00871650"/>
    <w:rsid w:val="00880046"/>
    <w:rsid w:val="008812CD"/>
    <w:rsid w:val="00883997"/>
    <w:rsid w:val="008B321F"/>
    <w:rsid w:val="008B62F1"/>
    <w:rsid w:val="008C09E3"/>
    <w:rsid w:val="008C55DF"/>
    <w:rsid w:val="008D5EC0"/>
    <w:rsid w:val="008E1A09"/>
    <w:rsid w:val="008E73D6"/>
    <w:rsid w:val="00901DDC"/>
    <w:rsid w:val="00932885"/>
    <w:rsid w:val="0093390C"/>
    <w:rsid w:val="009363F3"/>
    <w:rsid w:val="0093724C"/>
    <w:rsid w:val="009506FF"/>
    <w:rsid w:val="009557F0"/>
    <w:rsid w:val="009744F5"/>
    <w:rsid w:val="00974EA2"/>
    <w:rsid w:val="009A366C"/>
    <w:rsid w:val="009A5AAA"/>
    <w:rsid w:val="009B3438"/>
    <w:rsid w:val="009C0A6C"/>
    <w:rsid w:val="009C5988"/>
    <w:rsid w:val="009C7E70"/>
    <w:rsid w:val="009D231F"/>
    <w:rsid w:val="009E0C70"/>
    <w:rsid w:val="009E31F3"/>
    <w:rsid w:val="00A06BE6"/>
    <w:rsid w:val="00A11436"/>
    <w:rsid w:val="00A26EE0"/>
    <w:rsid w:val="00A37A37"/>
    <w:rsid w:val="00A432BD"/>
    <w:rsid w:val="00A64BC4"/>
    <w:rsid w:val="00A7079B"/>
    <w:rsid w:val="00A82075"/>
    <w:rsid w:val="00A83F04"/>
    <w:rsid w:val="00AA36AB"/>
    <w:rsid w:val="00AA698F"/>
    <w:rsid w:val="00AB6A9B"/>
    <w:rsid w:val="00AC0BFC"/>
    <w:rsid w:val="00AC365C"/>
    <w:rsid w:val="00AD1D1D"/>
    <w:rsid w:val="00AE43A2"/>
    <w:rsid w:val="00AF4BA1"/>
    <w:rsid w:val="00B02A34"/>
    <w:rsid w:val="00B11DBB"/>
    <w:rsid w:val="00B174A6"/>
    <w:rsid w:val="00B203A9"/>
    <w:rsid w:val="00B21F61"/>
    <w:rsid w:val="00B3381E"/>
    <w:rsid w:val="00B33A47"/>
    <w:rsid w:val="00B34228"/>
    <w:rsid w:val="00B512F9"/>
    <w:rsid w:val="00B57E1F"/>
    <w:rsid w:val="00B634BF"/>
    <w:rsid w:val="00B64330"/>
    <w:rsid w:val="00B64D54"/>
    <w:rsid w:val="00B82691"/>
    <w:rsid w:val="00B94A89"/>
    <w:rsid w:val="00B954AE"/>
    <w:rsid w:val="00B9555D"/>
    <w:rsid w:val="00BA4A57"/>
    <w:rsid w:val="00BB29C1"/>
    <w:rsid w:val="00BB2B18"/>
    <w:rsid w:val="00BB3777"/>
    <w:rsid w:val="00BD00F8"/>
    <w:rsid w:val="00BF0D78"/>
    <w:rsid w:val="00C00543"/>
    <w:rsid w:val="00C0162D"/>
    <w:rsid w:val="00C01AF9"/>
    <w:rsid w:val="00C070E5"/>
    <w:rsid w:val="00C2056B"/>
    <w:rsid w:val="00C26452"/>
    <w:rsid w:val="00C3292F"/>
    <w:rsid w:val="00C366BD"/>
    <w:rsid w:val="00C413E4"/>
    <w:rsid w:val="00C80870"/>
    <w:rsid w:val="00C84506"/>
    <w:rsid w:val="00C8570D"/>
    <w:rsid w:val="00C952B8"/>
    <w:rsid w:val="00C97DB2"/>
    <w:rsid w:val="00CA01E2"/>
    <w:rsid w:val="00CC525E"/>
    <w:rsid w:val="00CD3AC2"/>
    <w:rsid w:val="00CE0BC1"/>
    <w:rsid w:val="00CE6AA0"/>
    <w:rsid w:val="00CF01B2"/>
    <w:rsid w:val="00D132C0"/>
    <w:rsid w:val="00D51783"/>
    <w:rsid w:val="00D56767"/>
    <w:rsid w:val="00D6719C"/>
    <w:rsid w:val="00D731E1"/>
    <w:rsid w:val="00D93A54"/>
    <w:rsid w:val="00DB07BE"/>
    <w:rsid w:val="00DC7C6F"/>
    <w:rsid w:val="00DD4547"/>
    <w:rsid w:val="00DE64D5"/>
    <w:rsid w:val="00E018DF"/>
    <w:rsid w:val="00E07081"/>
    <w:rsid w:val="00E152DF"/>
    <w:rsid w:val="00E16529"/>
    <w:rsid w:val="00E21457"/>
    <w:rsid w:val="00E311E5"/>
    <w:rsid w:val="00E3229B"/>
    <w:rsid w:val="00E4344C"/>
    <w:rsid w:val="00E4678E"/>
    <w:rsid w:val="00E51C38"/>
    <w:rsid w:val="00E63970"/>
    <w:rsid w:val="00E832E7"/>
    <w:rsid w:val="00E838E4"/>
    <w:rsid w:val="00EA7F70"/>
    <w:rsid w:val="00EC7940"/>
    <w:rsid w:val="00EE42DC"/>
    <w:rsid w:val="00EE5DD8"/>
    <w:rsid w:val="00EF3155"/>
    <w:rsid w:val="00EF414F"/>
    <w:rsid w:val="00F042D7"/>
    <w:rsid w:val="00F14B96"/>
    <w:rsid w:val="00F4196D"/>
    <w:rsid w:val="00F50010"/>
    <w:rsid w:val="00F60616"/>
    <w:rsid w:val="00F73727"/>
    <w:rsid w:val="00F861E8"/>
    <w:rsid w:val="00F86596"/>
    <w:rsid w:val="00F90E46"/>
    <w:rsid w:val="00FB58DB"/>
    <w:rsid w:val="00FD78E8"/>
    <w:rsid w:val="00FD7A03"/>
    <w:rsid w:val="00FE01E0"/>
    <w:rsid w:val="00FE71F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2AB9"/>
  <w15:chartTrackingRefBased/>
  <w15:docId w15:val="{051167CC-6070-4E35-8BBD-79B0F7E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5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616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616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D45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547"/>
  </w:style>
  <w:style w:type="paragraph" w:styleId="Piedepgina">
    <w:name w:val="footer"/>
    <w:basedOn w:val="Normal"/>
    <w:link w:val="PiedepginaCar"/>
    <w:uiPriority w:val="99"/>
    <w:unhideWhenUsed/>
    <w:rsid w:val="00DD45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547"/>
  </w:style>
  <w:style w:type="paragraph" w:styleId="Textonotapie">
    <w:name w:val="footnote text"/>
    <w:basedOn w:val="Normal"/>
    <w:link w:val="TextonotapieCar"/>
    <w:uiPriority w:val="99"/>
    <w:semiHidden/>
    <w:unhideWhenUsed/>
    <w:rsid w:val="0045210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21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2105"/>
    <w:rPr>
      <w:vertAlign w:val="superscript"/>
    </w:rPr>
  </w:style>
  <w:style w:type="table" w:styleId="Tablaconcuadrcula">
    <w:name w:val="Table Grid"/>
    <w:basedOn w:val="Tablanormal"/>
    <w:uiPriority w:val="39"/>
    <w:rsid w:val="00EE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57E1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57E1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57E1F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7E1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EC7940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29E5-FBFE-45F8-A852-FE399A98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Guzman</dc:creator>
  <cp:keywords/>
  <dc:description/>
  <cp:lastModifiedBy>PC</cp:lastModifiedBy>
  <cp:revision>2</cp:revision>
  <cp:lastPrinted>2025-09-18T18:06:00Z</cp:lastPrinted>
  <dcterms:created xsi:type="dcterms:W3CDTF">2025-09-18T18:17:00Z</dcterms:created>
  <dcterms:modified xsi:type="dcterms:W3CDTF">2025-09-18T18:17:00Z</dcterms:modified>
</cp:coreProperties>
</file>